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spacing w:before="0" w:after="0"/>
        <w:jc w:val="center"/>
        <w:rPr>
          <w:rFonts w:ascii="Times New Roman" w:hAnsi="Times New Roman" w:cs="Times New Roman"/>
          <w:color w:val="0D0D0D" w:themeColor="text1" w:themeTint="f2"/>
        </w:rPr>
      </w:pPr>
      <w:r>
        <w:rPr>
          <w:rFonts w:cs="Times New Roman" w:ascii="Times New Roman" w:hAnsi="Times New Roman"/>
          <w:color w:val="0D0D0D" w:themeColor="text1" w:themeTint="f2"/>
        </w:rPr>
        <w:t>Информация об исполнении</w:t>
        <w:br/>
        <w:t>государственной программы Республики Татарстан</w:t>
        <w:br/>
        <w:t>«Реализация антикоррупционной политики Республики Татарстан»</w:t>
        <w:br/>
        <w:t>за 2024 год</w:t>
      </w:r>
    </w:p>
    <w:p>
      <w:pPr>
        <w:pStyle w:val="Normal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ind w:firstLine="709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Министерство юстиции Республики Татарстан (далее – Министерство) как ответственный исполнитель государственной программы Республики Татарстан «Реализация антикоррупционной политики Республики Татарстан», утверждённой постановлением Кабинета Министров Республики Татарстан от 19.07.2014 № 512 (далее – Программа), проводит регулярный мониторинг ее исполнения, в том числе ежегодно Министерством организуется не менее 14 выездных проверок исполнения программных мероприятий в республиканских органах исполнительной власти и муниципальных образованиях Республики Татарстан. </w:t>
      </w:r>
      <w:r>
        <w:rPr>
          <w:rFonts w:eastAsia="Calibri"/>
          <w:sz w:val="28"/>
          <w:szCs w:val="28"/>
          <w:lang w:eastAsia="en-US"/>
        </w:rPr>
        <w:t xml:space="preserve">В 2024 году такие проверки проведены в Министерстве экономики Республики Татарстан, Министерстве по делам гражданской обороны и чрезвычайным ситуациям Республики Татарстан, Министерстве по делам молодежи Республики Татарстан, Министерстве финансов Республики Татарстан, Министерстве лесного хозяйства Республики Татарстан, Комитете по охране объектов культурного наследия Республики Татарстан, </w:t>
      </w:r>
      <w:r>
        <w:rPr>
          <w:rFonts w:eastAsia="Calibri"/>
          <w:color w:val="000000"/>
          <w:sz w:val="28"/>
          <w:szCs w:val="28"/>
          <w:lang w:eastAsia="en-US"/>
        </w:rPr>
        <w:t>Управлении по надзору за техническим состоянием самоходных машин и других видов техники Республики Татарстан,</w:t>
      </w:r>
      <w:r>
        <w:rPr>
          <w:rFonts w:eastAsia="Calibri"/>
          <w:sz w:val="28"/>
          <w:szCs w:val="28"/>
          <w:lang w:eastAsia="en-US"/>
        </w:rPr>
        <w:t xml:space="preserve"> а также Арском, Верхнеуслонском, Мамадышском, Заинском, Сармановском, Чистопольском, Лениногорском муниципальных районах Республики Татарстан.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По итогам 2024 года все </w:t>
      </w:r>
      <w:r>
        <w:rPr>
          <w:b/>
          <w:sz w:val="28"/>
          <w:szCs w:val="28"/>
        </w:rPr>
        <w:t>20</w:t>
      </w:r>
      <w:r>
        <w:rPr>
          <w:sz w:val="28"/>
          <w:szCs w:val="28"/>
        </w:rPr>
        <w:t xml:space="preserve"> показателей Программы выполнены.</w:t>
        <w:br/>
      </w:r>
      <w:r>
        <w:rPr>
          <w:rFonts w:eastAsia="Calibri"/>
          <w:color w:val="000000"/>
          <w:sz w:val="28"/>
          <w:szCs w:val="28"/>
          <w:lang w:eastAsia="en-US"/>
        </w:rPr>
        <w:t xml:space="preserve">На реализацию мероприятий Программы было предусмотрено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8 837,1 тыс.рублей</w:t>
      </w:r>
      <w:r>
        <w:rPr>
          <w:rFonts w:eastAsia="Calibri"/>
          <w:color w:val="000000"/>
          <w:sz w:val="28"/>
          <w:szCs w:val="28"/>
          <w:lang w:eastAsia="en-US"/>
        </w:rPr>
        <w:t xml:space="preserve">, из которых освоено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8 529,73 тыс.рублей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>
      <w:pPr>
        <w:pStyle w:val="Normal"/>
        <w:ind w:firstLine="709"/>
        <w:jc w:val="both"/>
        <w:rPr>
          <w:b/>
          <w:iCs/>
          <w:sz w:val="10"/>
          <w:szCs w:val="10"/>
        </w:rPr>
      </w:pPr>
      <w:r>
        <w:rPr>
          <w:b/>
          <w:iCs/>
          <w:sz w:val="10"/>
          <w:szCs w:val="10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 xml:space="preserve">850 </w:t>
      </w:r>
      <w:r>
        <w:rPr>
          <w:b/>
          <w:sz w:val="28"/>
          <w:szCs w:val="28"/>
        </w:rPr>
        <w:t xml:space="preserve">тыс.рублей </w:t>
      </w:r>
      <w:r>
        <w:rPr>
          <w:iCs/>
          <w:sz w:val="28"/>
          <w:szCs w:val="28"/>
        </w:rPr>
        <w:t>– Министерством экономики Республики Татарстан на проведение социологического исследования «Изучение мнения населения о коррупции в Республике Татарстан».</w:t>
      </w:r>
    </w:p>
    <w:p>
      <w:pPr>
        <w:pStyle w:val="ListParagraph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В 2024 году социологическое исследование «Изучение мнения населения</w:t>
        <w:br/>
        <w:t>о коррупции в Республике Татарстан» проведено в 45 муниципальных образованиях республики. Количество участников составило 3240 человек. Среди участников опроса 53,1% – женщины, 46,9% – мужчины. По возрасту респонденты распределились следующим образом: 3,6% находятся в возрасте до 20 лет, 13,5% – от 21 до 30 лет, 19,3% – от 31 до 40 лет, 16,5% – от 41 до 50 лет, 17,8% – от 51 до 60 лет и 29,3% – старше 60 лет. В исследовании участвовали специалисты, рабочие, служащие, пенсионеры, студенты, руководители подразделений и высшего среднего звена, предприниматели, бизнесмены.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респондентов, которые хотя бы раз в течение последнего года попадали в коррупционную ситуацию составила 9,6%. С 2011 года указанный показатель снизился в два раза (было 21,2%).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социологического опроса, проведённого в 2024 году уровень коррупции в Республике Татарстан граждане оценивают как «средний», так ответили 45,1% респондентов. Практически треть респондентов оценили коррупции в Республике Татарстан как «низкий» (31%).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Попав в коррупционную ситуацию, 20,5% респондентов уведомили о факте коррупции.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2024 году респонденты, которые попали в коррупционную ситуацию, вступили в коррупционную сделку и стали ее участниками, составляет 41%.</w:t>
        <w:br/>
        <w:t>За период 10 лет отмечается снижение готовности граждан вступить</w:t>
        <w:br/>
        <w:t xml:space="preserve">в коррупционную ситуацию (2014 год </w:t>
      </w:r>
      <w:r>
        <w:rPr>
          <w:i/>
          <w:iCs/>
          <w:sz w:val="28"/>
          <w:szCs w:val="28"/>
        </w:rPr>
        <w:t>–</w:t>
      </w:r>
      <w:r>
        <w:rPr>
          <w:sz w:val="28"/>
          <w:szCs w:val="28"/>
        </w:rPr>
        <w:t xml:space="preserve"> 64,7%).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Среди участников опроса 80,5% респондентов работу по противодействию коррупции, проводимую органами власти Республики Татарстан положительно.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65,1% респондентов осуждают тех, кто дает взятки и тех, кто их берет.</w:t>
      </w:r>
    </w:p>
    <w:p>
      <w:pPr>
        <w:pStyle w:val="Normal"/>
        <w:ind w:firstLine="709"/>
        <w:jc w:val="both"/>
        <w:rPr>
          <w:b/>
          <w:iCs/>
          <w:sz w:val="10"/>
          <w:szCs w:val="10"/>
        </w:rPr>
      </w:pPr>
      <w:r>
        <w:rPr>
          <w:b/>
          <w:iCs/>
          <w:sz w:val="10"/>
          <w:szCs w:val="10"/>
        </w:rPr>
      </w:r>
    </w:p>
    <w:p>
      <w:pPr>
        <w:pStyle w:val="Normal"/>
        <w:ind w:firstLine="709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1 781 </w:t>
      </w:r>
      <w:r>
        <w:rPr>
          <w:b/>
          <w:sz w:val="28"/>
          <w:szCs w:val="28"/>
        </w:rPr>
        <w:t xml:space="preserve">тыс.рублей </w:t>
      </w:r>
      <w:r>
        <w:rPr>
          <w:iCs/>
          <w:sz w:val="28"/>
          <w:szCs w:val="28"/>
        </w:rPr>
        <w:t>– Республиканским агентством по печати и массовым коммуникациям «Татмедиа» (далее – Агентство) на выпуск в эфир 8 телепередач «Татарстан без коррупции» и 4 «Трибуна Нового Века»:</w:t>
      </w:r>
    </w:p>
    <w:p>
      <w:pPr>
        <w:pStyle w:val="ListParagraph"/>
        <w:ind w:left="0" w:firstLine="709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29.01.2024 «Правовое просвещение населения по вопросам создания</w:t>
        <w:br/>
        <w:t>и деятельности автомобильных парковок»;</w:t>
      </w:r>
    </w:p>
    <w:p>
      <w:pPr>
        <w:pStyle w:val="ListParagraph"/>
        <w:ind w:left="0" w:firstLine="709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26.02.2024 «Реализация антикоррупционных мер в подведомственных организациях»;</w:t>
      </w:r>
    </w:p>
    <w:p>
      <w:pPr>
        <w:pStyle w:val="ListParagraph"/>
        <w:ind w:left="0" w:firstLine="709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11.03.2024 «Социологические исследования мнения населения о коррупции»;</w:t>
      </w:r>
    </w:p>
    <w:p>
      <w:pPr>
        <w:pStyle w:val="ListParagraph"/>
        <w:ind w:left="0" w:firstLine="709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15.04.2024 «Правовое регулирование положения работников предпенсионного возраста и пенсионеров, вышедших на пенсию в связи</w:t>
        <w:br/>
        <w:t>с выслугой лет или на льготных условиях»;</w:t>
      </w:r>
    </w:p>
    <w:p>
      <w:pPr>
        <w:pStyle w:val="ListParagraph"/>
        <w:ind w:left="0" w:firstLine="709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27.05.2024 «</w:t>
      </w:r>
      <w:r>
        <w:rPr>
          <w:i/>
          <w:iCs/>
          <w:color w:val="000000"/>
          <w:sz w:val="28"/>
          <w:szCs w:val="28"/>
        </w:rPr>
        <w:t>Минимизация коррупционных рисков при поступлении в вузы Республики Татарстан</w:t>
      </w:r>
      <w:r>
        <w:rPr>
          <w:i/>
          <w:iCs/>
          <w:sz w:val="28"/>
          <w:szCs w:val="28"/>
        </w:rPr>
        <w:t>»;</w:t>
      </w:r>
    </w:p>
    <w:p>
      <w:pPr>
        <w:pStyle w:val="ListParagraph"/>
        <w:ind w:left="0" w:firstLine="709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17.06.2024 «Коррупционные риски в сфере градостроительной деятельности в связи с изменениями в республиканском законодательстве»;</w:t>
      </w:r>
    </w:p>
    <w:p>
      <w:pPr>
        <w:pStyle w:val="ListParagraph"/>
        <w:ind w:left="0" w:firstLine="709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22.07.2024 «Минимизации коррупционных рисков при реализации программы «Наш двор»;</w:t>
      </w:r>
    </w:p>
    <w:p>
      <w:pPr>
        <w:pStyle w:val="ListParagraph"/>
        <w:ind w:left="0" w:firstLine="709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19.08.2024 «</w:t>
      </w:r>
      <w:r>
        <w:rPr>
          <w:i/>
          <w:iCs/>
          <w:color w:val="000000"/>
          <w:sz w:val="28"/>
          <w:szCs w:val="28"/>
        </w:rPr>
        <w:t>Правовое просвещение населения по вопросам состояния</w:t>
        <w:br/>
        <w:t>и нормативного регулирования в сфере обращения с твердыми коммунальными отходами</w:t>
      </w:r>
      <w:r>
        <w:rPr>
          <w:i/>
          <w:iCs/>
          <w:sz w:val="28"/>
          <w:szCs w:val="28"/>
        </w:rPr>
        <w:t>»;</w:t>
      </w:r>
    </w:p>
    <w:p>
      <w:pPr>
        <w:pStyle w:val="ListParagraph"/>
        <w:ind w:left="0" w:firstLine="709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23.09.2024 «Коррупционные риски в сфере предоставления социальных услуг»;</w:t>
      </w:r>
    </w:p>
    <w:p>
      <w:pPr>
        <w:pStyle w:val="ListParagraph"/>
        <w:ind w:left="0" w:firstLine="709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28.10.2024 «Минимизации коррупционных рисков в сфере реализации имущества, в том числе конфискованного (арестованного)»;</w:t>
      </w:r>
    </w:p>
    <w:p>
      <w:pPr>
        <w:pStyle w:val="ListParagraph"/>
        <w:ind w:left="0" w:firstLine="709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11.11.2024 «Минимизации коррупционных рисков при осуществлении процедур банкротства»;</w:t>
      </w:r>
    </w:p>
    <w:p>
      <w:pPr>
        <w:pStyle w:val="ListParagraph"/>
        <w:ind w:left="0" w:firstLine="709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09.12.2024 «И</w:t>
      </w:r>
      <w:r>
        <w:rPr>
          <w:i/>
          <w:iCs/>
          <w:color w:val="000000"/>
          <w:sz w:val="28"/>
          <w:szCs w:val="28"/>
        </w:rPr>
        <w:t>тоги реализации государственной программы «Реализация антикоррупционной политики Республики Татарстан» в 2024 году</w:t>
      </w:r>
      <w:r>
        <w:rPr>
          <w:i/>
          <w:iCs/>
          <w:sz w:val="28"/>
          <w:szCs w:val="28"/>
        </w:rPr>
        <w:t>».</w:t>
      </w:r>
    </w:p>
    <w:p>
      <w:pPr>
        <w:pStyle w:val="ListParagraph"/>
        <w:ind w:left="0" w:firstLine="709"/>
        <w:jc w:val="both"/>
        <w:rPr/>
      </w:pPr>
      <w:r>
        <w:rPr>
          <w:sz w:val="28"/>
          <w:szCs w:val="28"/>
        </w:rPr>
        <w:t xml:space="preserve">Всего в средствах массовой информации Республики Татарстан вышло </w:t>
      </w:r>
      <w:r>
        <w:rPr>
          <w:b/>
          <w:sz w:val="28"/>
          <w:szCs w:val="28"/>
        </w:rPr>
        <w:t>6 935</w:t>
      </w:r>
      <w:r>
        <w:rPr>
          <w:sz w:val="28"/>
          <w:szCs w:val="28"/>
        </w:rPr>
        <w:t xml:space="preserve"> материалов антикоррупционной направленности.</w:t>
      </w:r>
    </w:p>
    <w:p>
      <w:pPr>
        <w:pStyle w:val="Normal"/>
        <w:ind w:firstLine="709"/>
        <w:jc w:val="both"/>
        <w:rPr>
          <w:b/>
          <w:iCs/>
          <w:sz w:val="10"/>
          <w:szCs w:val="10"/>
        </w:rPr>
      </w:pPr>
      <w:r>
        <w:rPr>
          <w:b/>
          <w:iCs/>
          <w:sz w:val="10"/>
          <w:szCs w:val="10"/>
        </w:rPr>
      </w:r>
    </w:p>
    <w:p>
      <w:pPr>
        <w:pStyle w:val="Normal"/>
        <w:ind w:firstLine="709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564 тыс.рублей</w:t>
      </w:r>
      <w:r>
        <w:rPr>
          <w:iCs/>
          <w:sz w:val="28"/>
          <w:szCs w:val="28"/>
        </w:rPr>
        <w:t xml:space="preserve"> Агентством направлено на организацию и проведение специального журналистского конкурса среди республиканских средств массовой информации и лучшее освещение вопросов противодействия коррупции.</w:t>
      </w:r>
    </w:p>
    <w:p>
      <w:pPr>
        <w:pStyle w:val="ListParagraph"/>
        <w:ind w:left="0" w:firstLine="709"/>
        <w:jc w:val="both"/>
        <w:rPr/>
      </w:pPr>
      <w:r>
        <w:rPr>
          <w:sz w:val="28"/>
          <w:szCs w:val="28"/>
        </w:rPr>
        <w:t xml:space="preserve">Конкурс проводится по 5 номинациям и 2 специальным наградам. </w:t>
      </w:r>
    </w:p>
    <w:p>
      <w:pPr>
        <w:pStyle w:val="ListParagraph"/>
        <w:ind w:left="0" w:firstLine="709"/>
        <w:jc w:val="both"/>
        <w:rPr/>
      </w:pPr>
      <w:r>
        <w:rPr>
          <w:sz w:val="28"/>
          <w:szCs w:val="28"/>
        </w:rPr>
        <w:t>Общий призовой фонд составляет 564 тыс.рублей (1 место – 45 тыс.рублей, 2 место – 35 тыс.рублей , 3 место – 25 тыс.рублей, специальные награды – 50 и 55 тыс.рублей).</w:t>
      </w:r>
    </w:p>
    <w:p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 в 2024 году на Конкурс поступило 27 заявок (130 работ).</w:t>
      </w:r>
    </w:p>
    <w:p>
      <w:pPr>
        <w:pStyle w:val="ListParagraph"/>
        <w:ind w:left="0" w:firstLine="709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 xml:space="preserve">528 </w:t>
      </w:r>
      <w:r>
        <w:rPr>
          <w:b/>
          <w:sz w:val="28"/>
          <w:szCs w:val="28"/>
        </w:rPr>
        <w:t xml:space="preserve">тыс.рублей </w:t>
      </w:r>
      <w:r>
        <w:rPr>
          <w:iCs/>
          <w:sz w:val="28"/>
          <w:szCs w:val="28"/>
        </w:rPr>
        <w:t>– Министерством образования и науки Республики Татарстан на издание журнал «Антикоррупционный бюллетень» (250 тыс.рублей), разработку методического материала антикоррупционной направленности (75 тыс.рублей), проведение Всероссийской научно-практической конференции с международным участием «Диалектика противодействия коррупции» (15.11.2024 – 203 тыс.рублей).</w:t>
      </w:r>
    </w:p>
    <w:p>
      <w:pPr>
        <w:pStyle w:val="Normal"/>
        <w:ind w:firstLine="709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709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3 553,1 </w:t>
      </w:r>
      <w:r>
        <w:rPr>
          <w:b/>
          <w:sz w:val="28"/>
          <w:szCs w:val="28"/>
        </w:rPr>
        <w:t xml:space="preserve">тыс.рублей </w:t>
      </w:r>
      <w:r>
        <w:rPr>
          <w:iCs/>
          <w:sz w:val="28"/>
          <w:szCs w:val="28"/>
        </w:rPr>
        <w:t xml:space="preserve">– автономной некоммерческой организацией «Центр общественных процедур «Бизнес против коррупции» (далее – АНО «ЦОП БПК») (расходы текущей деятельности </w:t>
      </w:r>
      <w:r>
        <w:rPr>
          <w:sz w:val="28"/>
          <w:szCs w:val="28"/>
        </w:rPr>
        <w:t>–</w:t>
      </w:r>
      <w:r>
        <w:rPr>
          <w:iCs/>
          <w:sz w:val="28"/>
          <w:szCs w:val="28"/>
        </w:rPr>
        <w:t xml:space="preserve"> заработная плата, налоги с фонда оплаты труда, коммунальные услуги, бухгалтерское обслуживание и прочие расходы).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АНО «ЦОП БПК» совместно с Общественной приемной Уполномоченного при Главе (Раисе) Республики Татарстан по защите прав предпринимателей – помощника Раиса (далее – Уполномоченный) в муниципальных районах Республики Татарстан проведен 131 прием, по итогам которых соответствующие обращения направлены в адрес Уполномоченного. 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11.03.2024 сотрудник АНО «ЦОП «БПК» принял участие в записи телепередачи «Трибуна нового века» на тему «Социологические опросы как механизм противодействия коррупции». 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22.03.2024 сотрудниками АНО «ЦОП «БПК» записаны 26 обучающих роликов для представителей субъектов малого и среднего бизнеса с разъяснениями последних законодательных нововведений, в том числе направленных на профилактику совершения противоправных действий.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27.05.2024 проведено 17 заседание Общественного совета АНО «ЦОП «БПК» на котором рассмотрены обращения: 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 общества с ограниченной ответственность «ОКО «Беркут» о возможном несоответствии ряда нормативных документов, регламентирующих стоимость оказания охранных услуг, связанных с обеспечением антитеррористической защищенности объектов образовательных учреждений (школьных и дошкольных);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индивидуального предпринимателя Зиятдинова И.И. о бездействии уполномоченного органа по вопросу предоставления муниципальных услуг в сфере земельных правоотношений.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06.06.2024 организована работа секции Международной научно-практической конференции «ПРАВО И БИЗНЕС: Предпринимательское право и его роль</w:t>
        <w:br/>
        <w:t>в социально-экономическом развитии России» по теме «Проблемы внесудебного порядка и возмещения расходов по делам об оспаривании кадастровой стоимости»</w:t>
        <w:br/>
        <w:t>в рамках выездного заседания комиссии Ассоциации юристов России</w:t>
        <w:br/>
        <w:t>по взаимодействию с предпринимательским сообществом на площадке Казанского (Приволжского) федерального университета.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07.06.2024 сопредседатель Общественного Совета АНО «ЦОП «БПК» выступила с докладом о деятельности АНО «ЦОП «БПК» на пленарном заседании Международной научно-практической конференции «ПРАВО И БИЗНЕС: Предпринимательское право и его роль в социально-экономическом развитии России».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18.06.2024 проведено заседание Совета по развитию антикоррупционного комплаенса и деловой этики в Республике Татарстан, на котором определены цели и задачи, направленные на развитие деятельности Совета.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23.09.2024 проведено 18 заседание Общественного совета АНО «ЦОП «БПК» на котором рассмотрены: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коллективное обращение предпринимателей из Черемшанского муниципального района Республики Татарстан по вопросу разногласий</w:t>
        <w:br/>
        <w:t>и предъявлении требований государственного бюджетного учреждения «Безопасность дорожного движения» по использованию объектов дорожного сервиса, размещенных на земельных участках в пределах придорожных полос автомобильных дорог регионального значения;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генерального директора общества с ограниченной ответственностью «ГАИ» Г.Э. Мешина по вопросу отказа Комитета земельных</w:t>
        <w:br/>
        <w:t>и имущественных отношений города Казани в увеличении срока рассрочки</w:t>
        <w:br/>
        <w:t>по договору купли-продажи арендуемого имущества.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05.11.2024 Сопредседатель Общественного Совета АНО «ЦОП «БПК» приняла участие в XIV Всероссийской научно-практической конференции</w:t>
        <w:br/>
        <w:t>с международным участием «Диалектика противодействия коррупции».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 социологический опрос «Коррупционные риски в Республике Татарстан» с целью исследования мнения предпринимателей, замера антикоррупционных настроений и оценки антикоррупционной политики. 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членами Совета по развитию антикоррупционного комплаенса</w:t>
        <w:br/>
        <w:t>и деловой этики в Республике Татарстан проведен конкурс видеороликов на тему комплаенса (соответствия законодательству), деловой этики и противодействия коррупции «Честный взгляд» среди работающей молодежи и студентов вузов республики.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 сбор и отправка предложений от предпринимательского сообщества в адрес оперативного штаба по обеспечению устойчивого развития экономики республики в условиях санкций.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постоянной основе происходит заполнение разделов интернет-сайта АНО «ЦОП «БПК». 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Проведены «круглые столы» по следующим темам:</w:t>
      </w:r>
    </w:p>
    <w:p>
      <w:pPr>
        <w:pStyle w:val="ListParagraph"/>
        <w:widowControl w:val="false"/>
        <w:tabs>
          <w:tab w:val="clear" w:pos="708"/>
          <w:tab w:val="left" w:pos="493" w:leader="none"/>
        </w:tabs>
        <w:spacing w:before="0" w:after="0"/>
        <w:ind w:left="0" w:firstLine="709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25.01.2024 «Как парировать доводы о необходимости доначисления налогов»;</w:t>
      </w:r>
    </w:p>
    <w:p>
      <w:pPr>
        <w:pStyle w:val="ListParagraph"/>
        <w:widowControl w:val="false"/>
        <w:tabs>
          <w:tab w:val="clear" w:pos="708"/>
          <w:tab w:val="left" w:pos="493" w:leader="none"/>
        </w:tabs>
        <w:spacing w:before="0" w:after="0"/>
        <w:ind w:left="0" w:firstLine="709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01.02.2024 «Внеплановые проверки бизнеса»;</w:t>
      </w:r>
    </w:p>
    <w:p>
      <w:pPr>
        <w:pStyle w:val="ListParagraph"/>
        <w:widowControl w:val="false"/>
        <w:tabs>
          <w:tab w:val="clear" w:pos="708"/>
          <w:tab w:val="left" w:pos="493" w:leader="none"/>
        </w:tabs>
        <w:spacing w:before="0" w:after="0"/>
        <w:ind w:left="0" w:firstLine="709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15.02.2024 «Обзор новых разъяснений ФАС России по закону «О рекламе»»;</w:t>
      </w:r>
    </w:p>
    <w:p>
      <w:pPr>
        <w:pStyle w:val="ListParagraph"/>
        <w:widowControl w:val="false"/>
        <w:tabs>
          <w:tab w:val="clear" w:pos="708"/>
          <w:tab w:val="left" w:pos="493" w:leader="none"/>
        </w:tabs>
        <w:spacing w:before="0" w:after="0"/>
        <w:ind w:left="0" w:firstLine="709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22.02.2024 «Какие действия нужно предпринять, прежде чем расторгнуть трудовой договор с работником по инициативе работодателя»;</w:t>
      </w:r>
    </w:p>
    <w:p>
      <w:pPr>
        <w:pStyle w:val="ListParagraph"/>
        <w:widowControl w:val="false"/>
        <w:tabs>
          <w:tab w:val="clear" w:pos="708"/>
          <w:tab w:val="left" w:pos="493" w:leader="none"/>
        </w:tabs>
        <w:spacing w:before="0" w:after="0"/>
        <w:ind w:left="0" w:firstLine="709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29.02.2024 «Алгоритм действий при визите сотрудников правоохранительных органов в офис компании»;</w:t>
      </w:r>
    </w:p>
    <w:p>
      <w:pPr>
        <w:pStyle w:val="ListParagraph"/>
        <w:widowControl w:val="false"/>
        <w:tabs>
          <w:tab w:val="clear" w:pos="708"/>
          <w:tab w:val="left" w:pos="493" w:leader="none"/>
        </w:tabs>
        <w:spacing w:before="0" w:after="0"/>
        <w:ind w:left="0" w:firstLine="709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07.03.2024 «Обработка персональных данных: что проверить что бы не получить штраф до 1,5 млн рублей»;</w:t>
      </w:r>
    </w:p>
    <w:p>
      <w:pPr>
        <w:pStyle w:val="ListParagraph"/>
        <w:widowControl w:val="false"/>
        <w:tabs>
          <w:tab w:val="clear" w:pos="708"/>
          <w:tab w:val="left" w:pos="493" w:leader="none"/>
        </w:tabs>
        <w:spacing w:before="0" w:after="0"/>
        <w:ind w:left="0" w:firstLine="709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14.03.2024 «Как выиграть споры в суде с помощью доказательств, собранных в социальных сетях»;</w:t>
      </w:r>
    </w:p>
    <w:p>
      <w:pPr>
        <w:pStyle w:val="ListParagraph"/>
        <w:widowControl w:val="false"/>
        <w:tabs>
          <w:tab w:val="clear" w:pos="708"/>
          <w:tab w:val="left" w:pos="493" w:leader="none"/>
        </w:tabs>
        <w:spacing w:before="0" w:after="0"/>
        <w:ind w:left="0" w:firstLine="709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21.03.2024 «Как выиграть споры в суде с помощью доказательств, собранных в социальных сетях»;</w:t>
      </w:r>
    </w:p>
    <w:p>
      <w:pPr>
        <w:pStyle w:val="ListParagraph"/>
        <w:widowControl w:val="false"/>
        <w:tabs>
          <w:tab w:val="clear" w:pos="708"/>
          <w:tab w:val="left" w:pos="493" w:leader="none"/>
        </w:tabs>
        <w:spacing w:before="0" w:after="0"/>
        <w:ind w:left="0" w:firstLine="709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28.03.2024 «Расторжение договора «задним числом»;</w:t>
      </w:r>
    </w:p>
    <w:p>
      <w:pPr>
        <w:pStyle w:val="ListParagraph"/>
        <w:widowControl w:val="false"/>
        <w:tabs>
          <w:tab w:val="clear" w:pos="708"/>
          <w:tab w:val="left" w:pos="493" w:leader="none"/>
        </w:tabs>
        <w:spacing w:before="0" w:after="0"/>
        <w:ind w:left="0" w:firstLine="709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04.04.2024 «Порядок обжалования в судебной инстанции в случае неполучения почтового уведомления»;</w:t>
      </w:r>
    </w:p>
    <w:p>
      <w:pPr>
        <w:pStyle w:val="ListParagraph"/>
        <w:widowControl w:val="false"/>
        <w:tabs>
          <w:tab w:val="clear" w:pos="708"/>
          <w:tab w:val="left" w:pos="493" w:leader="none"/>
        </w:tabs>
        <w:spacing w:before="0" w:after="0"/>
        <w:ind w:left="0" w:firstLine="709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11.04.2024 «Порядок обжалования в судебной инстанции в случае неполучения почтового уведомления»;</w:t>
      </w:r>
    </w:p>
    <w:p>
      <w:pPr>
        <w:pStyle w:val="ListParagraph"/>
        <w:widowControl w:val="false"/>
        <w:tabs>
          <w:tab w:val="clear" w:pos="708"/>
          <w:tab w:val="left" w:pos="493" w:leader="none"/>
        </w:tabs>
        <w:spacing w:before="0" w:after="0"/>
        <w:ind w:left="0" w:firstLine="709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18.04.2024 «Как реагировать на запросы федеральной антимонопольной службы, чтобы не получить штраф»;</w:t>
      </w:r>
    </w:p>
    <w:p>
      <w:pPr>
        <w:pStyle w:val="ListParagraph"/>
        <w:widowControl w:val="false"/>
        <w:tabs>
          <w:tab w:val="clear" w:pos="708"/>
          <w:tab w:val="left" w:pos="493" w:leader="none"/>
        </w:tabs>
        <w:spacing w:before="0" w:after="0"/>
        <w:ind w:left="0" w:firstLine="709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25.04.2024 «Формирование статистической информации, характеризующей развитие малого бизнеса Республики Татарстан»;</w:t>
      </w:r>
    </w:p>
    <w:p>
      <w:pPr>
        <w:pStyle w:val="ListParagraph"/>
        <w:widowControl w:val="false"/>
        <w:tabs>
          <w:tab w:val="clear" w:pos="708"/>
          <w:tab w:val="left" w:pos="493" w:leader="none"/>
        </w:tabs>
        <w:spacing w:before="0" w:after="0"/>
        <w:ind w:left="0" w:firstLine="709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16.05.2024 «Мошеннические схемы, кредиты и микрозаймы – как уберечь себя и свою компанию»;</w:t>
      </w:r>
    </w:p>
    <w:p>
      <w:pPr>
        <w:pStyle w:val="ListParagraph"/>
        <w:widowControl w:val="false"/>
        <w:tabs>
          <w:tab w:val="clear" w:pos="708"/>
          <w:tab w:val="left" w:pos="493" w:leader="none"/>
        </w:tabs>
        <w:spacing w:before="0" w:after="0"/>
        <w:ind w:left="0" w:firstLine="709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23.05.2024 «Мошеннические схемы, кредиты и микрозаймы – как уберечь себя и свою компанию»;</w:t>
      </w:r>
    </w:p>
    <w:p>
      <w:pPr>
        <w:pStyle w:val="ListParagraph"/>
        <w:widowControl w:val="false"/>
        <w:tabs>
          <w:tab w:val="clear" w:pos="708"/>
          <w:tab w:val="left" w:pos="493" w:leader="none"/>
        </w:tabs>
        <w:spacing w:before="0" w:after="0"/>
        <w:ind w:left="0" w:firstLine="709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30.05.2024 «Как возместить расходы на неотделимые улучшения»;</w:t>
      </w:r>
    </w:p>
    <w:p>
      <w:pPr>
        <w:pStyle w:val="ListParagraph"/>
        <w:widowControl w:val="false"/>
        <w:tabs>
          <w:tab w:val="clear" w:pos="708"/>
          <w:tab w:val="left" w:pos="493" w:leader="none"/>
        </w:tabs>
        <w:spacing w:before="0" w:after="0"/>
        <w:ind w:left="0" w:firstLine="709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06.06.2024 «Как правильно заключить договор с самозанятым»;</w:t>
      </w:r>
    </w:p>
    <w:p>
      <w:pPr>
        <w:pStyle w:val="ListParagraph"/>
        <w:widowControl w:val="false"/>
        <w:tabs>
          <w:tab w:val="clear" w:pos="708"/>
          <w:tab w:val="left" w:pos="493" w:leader="none"/>
        </w:tabs>
        <w:spacing w:before="0" w:after="0"/>
        <w:ind w:left="0" w:firstLine="709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13.06.2024 «Нововведения в практике социального контракта»;</w:t>
      </w:r>
    </w:p>
    <w:p>
      <w:pPr>
        <w:pStyle w:val="ListParagraph"/>
        <w:widowControl w:val="false"/>
        <w:tabs>
          <w:tab w:val="clear" w:pos="708"/>
          <w:tab w:val="left" w:pos="493" w:leader="none"/>
        </w:tabs>
        <w:spacing w:before="0" w:after="0"/>
        <w:ind w:left="0" w:firstLine="709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20.06.2024 «Блокировка банковских счетов, инструкции по снятию»;</w:t>
      </w:r>
    </w:p>
    <w:p>
      <w:pPr>
        <w:pStyle w:val="ListParagraph"/>
        <w:widowControl w:val="false"/>
        <w:tabs>
          <w:tab w:val="clear" w:pos="708"/>
          <w:tab w:val="left" w:pos="493" w:leader="none"/>
        </w:tabs>
        <w:spacing w:before="0" w:after="0"/>
        <w:ind w:left="0" w:firstLine="709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04.07.2024 «Внесение изменений в Устав РЖД»;</w:t>
      </w:r>
    </w:p>
    <w:p>
      <w:pPr>
        <w:pStyle w:val="ListParagraph"/>
        <w:widowControl w:val="false"/>
        <w:tabs>
          <w:tab w:val="clear" w:pos="708"/>
          <w:tab w:val="left" w:pos="493" w:leader="none"/>
        </w:tabs>
        <w:spacing w:before="0" w:after="0"/>
        <w:ind w:left="0" w:firstLine="709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11.07.2024 «Особенности составления договора на предоставление подвижного состава»;</w:t>
      </w:r>
    </w:p>
    <w:p>
      <w:pPr>
        <w:pStyle w:val="ListParagraph"/>
        <w:widowControl w:val="false"/>
        <w:tabs>
          <w:tab w:val="clear" w:pos="708"/>
          <w:tab w:val="left" w:pos="493" w:leader="none"/>
        </w:tabs>
        <w:spacing w:before="0" w:after="0"/>
        <w:ind w:left="0" w:firstLine="709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18.07.2024 «Налоговая реформа: что нужно знать бизнесу»;</w:t>
      </w:r>
    </w:p>
    <w:p>
      <w:pPr>
        <w:pStyle w:val="ListParagraph"/>
        <w:widowControl w:val="false"/>
        <w:tabs>
          <w:tab w:val="clear" w:pos="708"/>
          <w:tab w:val="left" w:pos="493" w:leader="none"/>
        </w:tabs>
        <w:spacing w:before="0" w:after="0"/>
        <w:ind w:left="0" w:firstLine="709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25.07.2024 «Налоговая реформа: сложные вопросы о НДФЛ, про которые молчит новый закон»;</w:t>
      </w:r>
    </w:p>
    <w:p>
      <w:pPr>
        <w:pStyle w:val="ListParagraph"/>
        <w:widowControl w:val="false"/>
        <w:tabs>
          <w:tab w:val="clear" w:pos="708"/>
          <w:tab w:val="left" w:pos="493" w:leader="none"/>
        </w:tabs>
        <w:spacing w:before="0" w:after="0"/>
        <w:ind w:left="0" w:firstLine="709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01.08.2024 «Как использовать чужие тексты и фотографии, отбиться</w:t>
        <w:br/>
        <w:t>от необоснованных претензий правообладателей»;</w:t>
      </w:r>
    </w:p>
    <w:p>
      <w:pPr>
        <w:pStyle w:val="ListParagraph"/>
        <w:widowControl w:val="false"/>
        <w:tabs>
          <w:tab w:val="clear" w:pos="708"/>
          <w:tab w:val="left" w:pos="493" w:leader="none"/>
        </w:tabs>
        <w:spacing w:before="0" w:after="0"/>
        <w:ind w:left="0" w:firstLine="709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15.08.2024 «Когда электронная переписка заменяет собой подписанные договоры и доп.соглашение»;</w:t>
      </w:r>
    </w:p>
    <w:p>
      <w:pPr>
        <w:pStyle w:val="ListParagraph"/>
        <w:widowControl w:val="false"/>
        <w:tabs>
          <w:tab w:val="clear" w:pos="708"/>
          <w:tab w:val="left" w:pos="493" w:leader="none"/>
        </w:tabs>
        <w:spacing w:before="0" w:after="0"/>
        <w:ind w:left="0" w:firstLine="709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22.08.2024 «Что нужно знать о трудовой деятельности иностранных граждан»</w:t>
      </w:r>
    </w:p>
    <w:p>
      <w:pPr>
        <w:pStyle w:val="ListParagraph"/>
        <w:widowControl w:val="false"/>
        <w:tabs>
          <w:tab w:val="clear" w:pos="708"/>
          <w:tab w:val="left" w:pos="493" w:leader="none"/>
        </w:tabs>
        <w:spacing w:before="0" w:after="0"/>
        <w:ind w:left="0" w:firstLine="709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29.08.2024 «Как самозанятые пытались попасть в штат: 5 судебных разбирательств фрилансеров с бизнесом»;</w:t>
      </w:r>
    </w:p>
    <w:p>
      <w:pPr>
        <w:pStyle w:val="ListParagraph"/>
        <w:widowControl w:val="false"/>
        <w:tabs>
          <w:tab w:val="clear" w:pos="708"/>
          <w:tab w:val="left" w:pos="493" w:leader="none"/>
        </w:tabs>
        <w:spacing w:before="0" w:after="0"/>
        <w:ind w:left="0" w:firstLine="709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19.09.2024 «Как ИП и компаниям избежать претензий налоговой при работе</w:t>
        <w:br/>
        <w:t>с самозанятыми»;</w:t>
      </w:r>
    </w:p>
    <w:p>
      <w:pPr>
        <w:pStyle w:val="ListParagraph"/>
        <w:widowControl w:val="false"/>
        <w:tabs>
          <w:tab w:val="clear" w:pos="708"/>
          <w:tab w:val="left" w:pos="493" w:leader="none"/>
        </w:tabs>
        <w:spacing w:before="0" w:after="0"/>
        <w:ind w:left="0" w:firstLine="709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26.09.2024 «Маркировка одежды»;</w:t>
      </w:r>
    </w:p>
    <w:p>
      <w:pPr>
        <w:pStyle w:val="ListParagraph"/>
        <w:widowControl w:val="false"/>
        <w:tabs>
          <w:tab w:val="clear" w:pos="708"/>
          <w:tab w:val="left" w:pos="493" w:leader="none"/>
        </w:tabs>
        <w:spacing w:before="0" w:after="0"/>
        <w:ind w:left="0" w:firstLine="709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03.10.2024 «Функциональные возможности интернет платформы «Проф-бизнес»»;</w:t>
      </w:r>
    </w:p>
    <w:p>
      <w:pPr>
        <w:pStyle w:val="ListParagraph"/>
        <w:widowControl w:val="false"/>
        <w:tabs>
          <w:tab w:val="clear" w:pos="708"/>
          <w:tab w:val="left" w:pos="493" w:leader="none"/>
        </w:tabs>
        <w:spacing w:before="0" w:after="0"/>
        <w:ind w:left="0" w:firstLine="709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10.10.2024 «Важные новости для бизнеса»;</w:t>
      </w:r>
    </w:p>
    <w:p>
      <w:pPr>
        <w:pStyle w:val="ListParagraph"/>
        <w:widowControl w:val="false"/>
        <w:tabs>
          <w:tab w:val="clear" w:pos="708"/>
          <w:tab w:val="left" w:pos="493" w:leader="none"/>
        </w:tabs>
        <w:spacing w:before="0" w:after="0"/>
        <w:ind w:left="0" w:firstLine="709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17.10.2024 «Важные новости для бизнеса»;</w:t>
      </w:r>
    </w:p>
    <w:p>
      <w:pPr>
        <w:pStyle w:val="ListParagraph"/>
        <w:widowControl w:val="false"/>
        <w:tabs>
          <w:tab w:val="clear" w:pos="708"/>
          <w:tab w:val="left" w:pos="493" w:leader="none"/>
        </w:tabs>
        <w:spacing w:before="0" w:after="0"/>
        <w:ind w:left="0" w:firstLine="709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31.10.2024 «Корпоративное право. Изменения в законодательстве об АО</w:t>
        <w:br/>
        <w:t>и ООО»;</w:t>
      </w:r>
    </w:p>
    <w:p>
      <w:pPr>
        <w:pStyle w:val="ListParagraph"/>
        <w:widowControl w:val="false"/>
        <w:tabs>
          <w:tab w:val="clear" w:pos="708"/>
          <w:tab w:val="left" w:pos="493" w:leader="none"/>
        </w:tabs>
        <w:spacing w:before="0" w:after="0"/>
        <w:ind w:left="0" w:firstLine="709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07.11.2024 «Кибер-безопасность»;</w:t>
      </w:r>
    </w:p>
    <w:p>
      <w:pPr>
        <w:pStyle w:val="ListParagraph"/>
        <w:widowControl w:val="false"/>
        <w:tabs>
          <w:tab w:val="clear" w:pos="708"/>
          <w:tab w:val="left" w:pos="493" w:leader="none"/>
        </w:tabs>
        <w:spacing w:before="0" w:after="0"/>
        <w:ind w:left="0" w:firstLine="709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14.11.2024 «РАО. Роль РАО и ВОИС в музыкальной индустрии»;</w:t>
      </w:r>
    </w:p>
    <w:p>
      <w:pPr>
        <w:pStyle w:val="ListParagraph"/>
        <w:widowControl w:val="false"/>
        <w:tabs>
          <w:tab w:val="clear" w:pos="708"/>
          <w:tab w:val="left" w:pos="493" w:leader="none"/>
        </w:tabs>
        <w:spacing w:before="0" w:after="0"/>
        <w:ind w:left="0" w:firstLine="709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21.11.2024 «Обработка персональных данных»;</w:t>
      </w:r>
    </w:p>
    <w:p>
      <w:pPr>
        <w:pStyle w:val="ListParagraph"/>
        <w:widowControl w:val="false"/>
        <w:tabs>
          <w:tab w:val="clear" w:pos="708"/>
          <w:tab w:val="left" w:pos="493" w:leader="none"/>
        </w:tabs>
        <w:spacing w:before="0" w:after="0"/>
        <w:ind w:left="0" w:firstLine="709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28.11.2024 «Налоговая амнистия при дроблении бизнеса»;</w:t>
      </w:r>
    </w:p>
    <w:p>
      <w:pPr>
        <w:pStyle w:val="ListParagraph"/>
        <w:widowControl w:val="false"/>
        <w:tabs>
          <w:tab w:val="clear" w:pos="708"/>
          <w:tab w:val="left" w:pos="493" w:leader="none"/>
        </w:tabs>
        <w:spacing w:before="0" w:after="0"/>
        <w:ind w:left="0" w:firstLine="709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05.12.2024 «Министерство экономики Республики Татарстан: Сервисы для предпринимателей в условиях моратория на проверки»;</w:t>
      </w:r>
    </w:p>
    <w:p>
      <w:pPr>
        <w:pStyle w:val="ListParagraph"/>
        <w:widowControl w:val="false"/>
        <w:tabs>
          <w:tab w:val="clear" w:pos="708"/>
          <w:tab w:val="left" w:pos="493" w:leader="none"/>
        </w:tabs>
        <w:spacing w:before="0" w:after="0"/>
        <w:ind w:left="0" w:firstLine="709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12.12.2024 «Что делать, если пристав ошибся и списал не ваш долг?»;</w:t>
      </w:r>
    </w:p>
    <w:p>
      <w:pPr>
        <w:pStyle w:val="ListParagraph"/>
        <w:widowControl w:val="false"/>
        <w:tabs>
          <w:tab w:val="clear" w:pos="708"/>
          <w:tab w:val="left" w:pos="493" w:leader="none"/>
        </w:tabs>
        <w:spacing w:before="0" w:after="0"/>
        <w:ind w:left="0" w:firstLine="709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19.12.2024 «О нововведениях  налогового законодательства».</w:t>
      </w:r>
    </w:p>
    <w:p>
      <w:pPr>
        <w:pStyle w:val="ListParagraph"/>
        <w:widowControl w:val="false"/>
        <w:tabs>
          <w:tab w:val="clear" w:pos="708"/>
          <w:tab w:val="left" w:pos="493" w:leader="none"/>
        </w:tabs>
        <w:spacing w:before="0" w:after="0"/>
        <w:ind w:left="0" w:firstLine="709"/>
        <w:contextualSpacing w:val="false"/>
        <w:jc w:val="both"/>
        <w:rPr/>
      </w:pPr>
      <w:r>
        <w:rPr>
          <w:sz w:val="28"/>
          <w:szCs w:val="28"/>
        </w:rPr>
        <w:t>Состоялось 35 выездных приемов субъектов предпринимательской деятельности в органах местного самоуправления муниципальных районов</w:t>
        <w:br/>
        <w:t>и городских округов Республики Татарстан по вопросам имеющихся административных барьеров и негативного воздействия на бизнес-структуры органов публичной власти в Республике Татарстан, правоохранительных</w:t>
        <w:br/>
        <w:t>и контролирующих органов.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За 2024 год </w:t>
      </w:r>
      <w:r>
        <w:rPr>
          <w:sz w:val="28"/>
          <w:szCs w:val="28"/>
        </w:rPr>
        <w:t>посредством государственной информационной системы «Народный контроль» поступило 39 обращений граждан о коррупционных проявлениях (в сфере благоустройства территории – 6, в сфере транспорта и дорожного хозяйства – 9, сфере жилищно-коммунального хозяйства – 10, в сфере сделок с землей – 4, в сфере торговли – 1, в сфере капитального ремонта – 2, в сфере здравоохранения – 2, в сфере предпринимательства – 2, в сфере сельского</w:t>
        <w:br/>
        <w:t>хозяйства – 2, в сфере дошкольного образования – 1).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2024 год сотрудниками Управления государственной автомобильной инспекции Министерства внутренних дел по Республике Татарстан проведено 16 проверок регистрационной деятельности подразделений Управления ГАИ, по результатам которых нарушений не выявлено.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Управлением Федеральной антимонопольной службы по Республике Татарстан проведено 5 плановых и 96 внеплановых документарных проверок в сфере закупок товаров (работ, услуг) для государственных и муниципальных нужд. В отношении 3 закупок выявлено нарушение, связанное с началом работ до заключения контракта (государственное бюджетное учреждение «Дирекция финансирования программ дорожных работ», Казанский национальный исследовательский технический университет имени А.Н. Туполева, государственное казенное учреждение «Главное управление содержания и развития дорожно-транспортного комплекса Татарстана при министерстве транспорта и дорожного хозяйства республики Татарстан»).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Антикоррупционная экспертиза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За 2024 год проведена антикоррупционная экспертиза 2 353 проектов нормативных правовых актов, 27 086 проектов муниципальных нормативных правовых актов, коррупциогенные факторы выявлены и устранены в 120 проектах.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>На базе Министерства действует стажировочная площадка</w:t>
      </w:r>
      <w:r>
        <w:rPr>
          <w:sz w:val="28"/>
          <w:szCs w:val="28"/>
        </w:rPr>
        <w:t xml:space="preserve"> «Антикоррупционная экспертиза нормативных правовых актов. Разработка проектов нормативных правовых актов». За 2024 год по вышеуказанной программе обучено 22 служащих (6 муниципальных служащих Республики Татарстан,</w:t>
        <w:br/>
        <w:t>16 государственных гражданских служащих Республики Татарстан).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Антикоррупционное образование</w:t>
      </w:r>
    </w:p>
    <w:p>
      <w:pPr>
        <w:pStyle w:val="Style110"/>
        <w:widowControl/>
        <w:spacing w:lineRule="auto" w:line="24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fill="FFFFFF" w:val="clear"/>
        </w:rPr>
        <w:t>В целях принятия мер по профилактике коррупционных правонарушений среди государственных и муниципальных служащих путем проведения обучающих мероприятий по вопросам исполнения обязанностей и соблюдения ограничений</w:t>
        <w:br/>
        <w:t xml:space="preserve">и запретов в рамках реализации Национального плана по противодействию коррупции на 2021-2024 годы и </w:t>
      </w:r>
      <w:r>
        <w:rPr>
          <w:sz w:val="28"/>
          <w:szCs w:val="28"/>
          <w:shd w:fill="FFFFFF" w:val="clear"/>
        </w:rPr>
        <w:t>Программы</w:t>
      </w:r>
      <w:r>
        <w:rPr>
          <w:sz w:val="28"/>
          <w:szCs w:val="28"/>
          <w:shd w:fill="FFFFFF" w:val="clear"/>
        </w:rPr>
        <w:t xml:space="preserve"> в 2024 году реализовано 26 программ обучения в рамках повышения квалификации государственных и муниципальных служащих (обучились 394 государственных и 430 муниципальных служащих). Указанные курсы </w:t>
      </w:r>
      <w:r>
        <w:rPr>
          <w:sz w:val="28"/>
          <w:szCs w:val="28"/>
        </w:rPr>
        <w:t>содержат обязательные антикоррупционные дисциплины с изучением правовых и организационных основ предупреждения коррупции, особенностей получения, учета, оценки и сдачи подарков, формирования навыков идентификации коррупционных проявлений, актуализацией знаний о запретах и ограничениях для государственных и муниципальных служащих Республики Татарстан</w:t>
      </w:r>
      <w:r>
        <w:rPr>
          <w:sz w:val="28"/>
          <w:szCs w:val="28"/>
          <w:shd w:fill="FFFFFF" w:val="clear"/>
        </w:rPr>
        <w:t>.</w:t>
      </w:r>
    </w:p>
    <w:p>
      <w:pPr>
        <w:pStyle w:val="Style110"/>
        <w:widowControl/>
        <w:spacing w:lineRule="auto" w:lin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специализированным антикоррупционным программам («Функции подразделений по профилактике коррупционных и иных правонарушений»</w:t>
        <w:br/>
        <w:t>и «Антикоррупционная экспертиза нормативных правовых актов. Разработка проектов нормативных правовых актов»), реализованным в 2024 году, прошли обучение 88 служащих (42 государственных и 46 муниципальных), в должностные обязанности которых входит профилактика коррупционных правонарушений.</w:t>
      </w:r>
    </w:p>
    <w:p>
      <w:pPr>
        <w:pStyle w:val="Style110"/>
        <w:widowControl/>
        <w:spacing w:lineRule="auto" w:lin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специализированной программы изучаются основные направления антикоррупционной политики и изучение практики применения нормативных правовых актов Российской Федерации и Республики Татарстан в области противодействия коррупции, методы выявления и предупреждения конфликта интересов на государственной гражданской и муниципальной службе, меры</w:t>
        <w:br/>
        <w:t>по предупреждению коррупции, в том числе по выявлению и последующему устранению причин коррупции, по минимизации и (или) ликвидации последствий коррупционных правонарушений, а также меры по профилактике коррупции</w:t>
        <w:br/>
        <w:t>в отраслевой сфере (земельно-имущественные отношения, сельское хозяйство, образование и другие).</w:t>
      </w:r>
    </w:p>
    <w:p>
      <w:pPr>
        <w:pStyle w:val="Style110"/>
        <w:widowControl/>
        <w:spacing w:lineRule="auto" w:lin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Лекторами в указанных программах являются преподаватели вузов</w:t>
        <w:br/>
        <w:t>и федеральные эксперты, а также представители Управления, прокуратуры Республики Татарстан, правовых управлений Аппаратов Государственного Совета Республики Татарстан и Кабинета Министров Республики Татарстан, Министерства, Министерства внутренних дел по Республике Татарстан и другие эксперты.</w:t>
      </w:r>
    </w:p>
    <w:p>
      <w:pPr>
        <w:pStyle w:val="Style110"/>
        <w:widowControl/>
        <w:spacing w:lineRule="auto" w:lin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года проводится специальная программа повышения квалификации государственных гражданских и муниципальных служащих Республики Татарстан, впервые поступивших на государственную и муниципальную службу, в том числе на должности, включенные в перечни должностей, установленные нормативными правовыми актами Российской Федерации, содержащая дисциплины</w:t>
        <w:br/>
        <w:t xml:space="preserve">по антикоррупционной тематике (не менее 5 академических часов). </w:t>
      </w:r>
    </w:p>
    <w:p>
      <w:pPr>
        <w:pStyle w:val="Style110"/>
        <w:widowControl/>
        <w:spacing w:lineRule="auto" w:lin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2024 год реализовано 4 программы «Школа начинающего служащего»,</w:t>
        <w:br/>
        <w:t>по которой прошли обучение 145 служащих (76 государственных и 69 муниципальных).</w:t>
      </w:r>
    </w:p>
    <w:p>
      <w:pPr>
        <w:pStyle w:val="Style110"/>
        <w:widowControl/>
        <w:spacing w:lineRule="auto" w:lin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Реализовано 4 программы повышения квалификации «Государственные и муниципальные закупки» для служащих и работников государственных учреждений Республики Татарстан, в должностные обязанности которых входит участие в проведении закупок товаров, работ, услуг для обеспечения государственных и муниципальных нужд. В вышеуказанном обучении принял участие 61 слушатель (32 государственных и 29 муниципальных). Дополнительно обучились по данным программам 62 слушателя из числа работников государственных и муниципальных подведомственных учреждений (28 государственных и 34 муниципальных).</w:t>
      </w:r>
    </w:p>
    <w:p>
      <w:pPr>
        <w:pStyle w:val="Style110"/>
        <w:widowControl/>
        <w:spacing w:lineRule="auto" w:lin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 марте 2024 года проведен краткосрочный специализированный семинар «Недопущение и урегулирование конфликта интересов», направленный на повышение квалификации отдельных категорий государственных гражданских служащих и муниципальных служащих Республики Татарстан, а также представителей общественности и иных лиц, принимающих участие</w:t>
        <w:br/>
        <w:t>в противодействии коррупции, в котором обучилось 51 слушатель</w:t>
        <w:br/>
        <w:t>(31 государственный и 20 муниципальных).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>
        <w:rPr>
          <w:sz w:val="28"/>
        </w:rPr>
        <w:t>организации и проведения краткосрочных специализированных семинаров, направленных на повышение квалификации отдельных категорий государственных гражданских служащих Республики Татарстан, муниципальных служащих в Республике Татарстан, а также представителей общественности и иных лиц, принимающих участие в противодействии коррупции</w:t>
      </w:r>
      <w:r>
        <w:rPr>
          <w:sz w:val="28"/>
          <w:szCs w:val="28"/>
        </w:rPr>
        <w:t xml:space="preserve"> 10.06.2024</w:t>
        <w:br/>
        <w:t>в Министерстве труда, занятости и социальной защиты Республики Татарстан прошел семинар по вопросам представления сведений о доходах, расходах,</w:t>
        <w:br/>
        <w:t>об имуществе и обязательствах имущественного характера, урегулирования конфликта интересов на государственной гражданской службе. В мероприятии, прошедшем под председательством министра труда, занятости и социальной защиты Республики Татарстан Э.А. Зариповой, сотрудникам министерства озвучены результаты работы комиссии Республиканской экспертной группы по вопросам противодействия коррупции, проведенной в данном министерстве и его подведомственных организациях.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Аналогичные семинары проведены для должностных лиц Аппарата Кабинета Министров Республики Татарстан, Государственного Совета Республики Татарстан, Министерства строительства, архитектуры и жилищно-коммунального хозяйства Республики Татарстан, Министерства по делам молодежи Республики Татарстан, Министерства транспорта и дорожного хозяйства Республики Татарстан, Министерства экономики Республики Татарстан, Министерства культуры Республики Татарстан, Министерства экологии и природных ресурсов Республики Татарстан, Главного управлении ветеринарии Кабинета Министров, Министерства цифрового развития государственного управления, информационных технологий</w:t>
        <w:br/>
        <w:t>и связи Республики Татарстан, Управление Федеральной антимонопольной службы России по Республике Татарстан и Межрегионального территориального Управления Федерального агентства по управлению государственным имуществом в Республике Татарстан, органов местного самоуправления Балтасинского, Дрожжановского, Тюлячинского, Арского, Бугульминского муниципальных районов Республики Татарстан, государственное автономное учреждение здравоохранения «Городская клиническая больница № 7 имени М.Н. Садыкова».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19.01.2024 состоялся практический семинар для сотрудников кадровых служб, ответственных за работу по профилактике коррупционных и иных правонарушений</w:t>
        <w:br/>
        <w:t>в органах государственной власти Республики Татарстан и органах местного самоуправления, помощников глав муниципальных районов (городских округов)</w:t>
        <w:br/>
        <w:t>по вопросам противодействия коррупции.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семинара были озвучены проблемные вопросы предоставления сведений о доходах, расходах, об имуществе и обязательствах имущественного характера государственными гражданскими служащими Республики Татарстан</w:t>
        <w:br/>
        <w:t>и членами их семей, а также основные вопросы предотвращения и урегулирования конфликта интересов.</w:t>
      </w:r>
    </w:p>
    <w:p>
      <w:pPr>
        <w:pStyle w:val="Normal"/>
        <w:spacing w:lineRule="auto" w:line="22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семинаре приняли руководители органов государственной власти Республики Татарстан, руководители муниципальных образований республики,</w:t>
        <w:br/>
        <w:t>а также лица, ответственные за профилактику коррупционных правонарушений (участие приняли более 300 человек).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Антикоррупционная пропаганда</w:t>
      </w:r>
    </w:p>
    <w:p>
      <w:pPr>
        <w:pStyle w:val="Normal"/>
        <w:widowControl w:val="false"/>
        <w:ind w:firstLine="709"/>
        <w:jc w:val="both"/>
        <w:rPr>
          <w:color w:val="000000" w:themeColor="text1"/>
          <w:sz w:val="28"/>
          <w:szCs w:val="28"/>
          <w:shd w:fill="FFFFFF" w:val="clear"/>
        </w:rPr>
      </w:pPr>
      <w:r>
        <w:rPr>
          <w:color w:val="000000" w:themeColor="text1"/>
          <w:sz w:val="28"/>
          <w:szCs w:val="28"/>
          <w:shd w:fill="FFFFFF" w:val="clear"/>
        </w:rPr>
        <w:t>Министерством по делам молодёжи Республики Татарстан совместно с общественными организациями, образовательными учреждениями и муниципальными образованиями проводятся мероприятия, направленные на профилактику коррупционных правонарушений и правовое просвещение молодёжи.</w:t>
      </w:r>
    </w:p>
    <w:p>
      <w:pPr>
        <w:pStyle w:val="Normal"/>
        <w:widowControl w:val="false"/>
        <w:ind w:firstLine="709"/>
        <w:jc w:val="both"/>
        <w:rPr>
          <w:color w:val="000000" w:themeColor="text1"/>
          <w:sz w:val="28"/>
          <w:szCs w:val="28"/>
          <w:shd w:fill="FFFFFF" w:val="clear"/>
        </w:rPr>
      </w:pPr>
      <w:r>
        <w:rPr>
          <w:color w:val="000000" w:themeColor="text1"/>
          <w:sz w:val="28"/>
          <w:szCs w:val="28"/>
          <w:shd w:fill="FFFFFF" w:val="clear"/>
        </w:rPr>
        <w:t>В 2024 году в 342 учреждениях молодёжной политики и детских оздоровительных лагерях и проведено более 260 мероприятий, с охватом около 8000 человек. При этом формат работы с молодёжью разнообразен, начиная от бесед до познавательных акций и игр.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06.12.2024 в Представительском корпусе Казанского Кремля состоялась церемония торжественного награждения победителей и номинантов республиканских творческих конкурсов антикоррупционной направленности среди школьников и студентов общеобразовательных и профессиональных образовательных организаций.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Цель конкурсов - формирование активной гражданской</w:t>
        <w:br/>
        <w:t>позиции и антикоррупционного мировоззрения учащихся, развитие творческих способностей учащихся. В них участвуют обучающиеся общеобразовательных организаций, воспитанники образовательных организаций дополнительного образования детей системы образования, студенты профессиональных образовательных организаций. Большой вклад и активное содействие проведению мероприятий оказывают педагоги и родители обучающихся общеобразовательных организаций и образовательных организации дополнительного образования детей системы образования Республики Татарстан.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текущем году на муниципальном этапе было представлено около 57 000 работ, из которых 900 работ прошли в финал. Указанные работы представлены в разных жанрах, в том числе на конкурс среди обучающихся общеобразовательных организаций «Знай и не допускай!», на конкурс творческих работ среди студентов профессиональных образовательных организаций «Совесть – друг, коррупция – враг», на конкурс сочинений антикоррупционной направленности «Будущее моей страны - в моих руках», на конкурс сочинений-эссе среди обучающихся общеобразовательных школ «Скажем коррупции «Нет!» на родных языках</w:t>
      </w:r>
      <w:r>
        <w:rPr/>
        <w:t>.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45 муниципальных образованиях Республики Татарстан за 2024 год проведено около 3 680 мероприятий направленных на предупреждение коррупции (семинары, лекции, обучения). 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Например, в Рыбно-Слободском муниципальном районе Республики Татарстан 05.12.2024 проведена квест-игра, на тему противодействия коррупции, с участием председателя районного суда, заместителя прокурора района, мировой судьи, заместителя начальника отдела Министерства внутренних дел по Республике Татарстан района, а также ответственных сотрудников органов местного самоуправления района. 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Зеленодольском муниципальном районе Республики Татарстан </w:t>
      </w:r>
      <w:r>
        <w:rPr>
          <w:sz w:val="28"/>
          <w:szCs w:val="28"/>
          <w:shd w:fill="FFFFFF" w:val="clear"/>
        </w:rPr>
        <w:t>01.11.2024-10.11.2024 в рамках месячника антикоррупционной деятельности в образовательных организациях проведены рабочие совещания по разъяснению работникам школ законодательства в сфере противодействия коррупции (участие приняли 4 023 работника).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fill="FFFFFF" w:val="clear"/>
        </w:rPr>
        <w:t>В Заинском муниципальном районе Республики Татарстан 12.02.2024 проведен парламентский урок «Мы выбираем будущее» в муниципальном бюджетном общеобразовательном учреждении «Заинская средняя образовательная школа № 1» с обсуждением вопросов антикоррупционной деятельности органов власти с участием депутата Совета города Заинска, сотрудников муниципального бюджетного учреждения «Форпост», (участие приняли более 26 человек).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fill="FFFFFF" w:val="clear"/>
        </w:rPr>
        <w:t>В Дрожжановском муниципальном районе Республики Татарстан 02.12.2024 - 10.12.2024 в музее П.В. Дементьева села Новый Убей проведена выставка «Вместе против коррупции» (участие приняли 30 человек).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fill="FFFFFF" w:val="clear"/>
        </w:rPr>
        <w:t xml:space="preserve">Органами местного самоуправления республики разработано и распространено около 234 </w:t>
      </w:r>
      <w:r>
        <w:rPr>
          <w:sz w:val="28"/>
          <w:szCs w:val="28"/>
          <w:shd w:fill="FFFFFF" w:val="clear"/>
          <w:lang w:val="tt-RU"/>
        </w:rPr>
        <w:t>методических информационных материалов по противодействию корруп</w:t>
      </w:r>
      <w:r>
        <w:rPr>
          <w:sz w:val="28"/>
          <w:szCs w:val="28"/>
          <w:shd w:fill="FFFFFF" w:val="clear"/>
        </w:rPr>
        <w:t xml:space="preserve">ции, в средствах массовой информации опубликовано 1 618 </w:t>
      </w:r>
      <w:r>
        <w:rPr>
          <w:sz w:val="28"/>
          <w:szCs w:val="28"/>
          <w:shd w:fill="FFFFFF" w:val="clear"/>
          <w:lang w:val="tt-RU"/>
        </w:rPr>
        <w:t>материалов антикоррупционной направленности.</w:t>
      </w:r>
    </w:p>
    <w:p>
      <w:pPr>
        <w:pStyle w:val="Normal"/>
        <w:widowControl w:val="false"/>
        <w:ind w:firstLine="709"/>
        <w:jc w:val="both"/>
        <w:rPr>
          <w:color w:val="000000" w:themeColor="text1"/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 xml:space="preserve">Республиканскими органами исполнительной власти и их подведомственными организациями за 2024 год проведено около 380 </w:t>
      </w:r>
      <w:r>
        <w:rPr>
          <w:color w:val="000000" w:themeColor="text1"/>
          <w:sz w:val="28"/>
          <w:szCs w:val="28"/>
          <w:shd w:fill="FFFFFF" w:val="clear"/>
        </w:rPr>
        <w:t xml:space="preserve">мероприятий, направленных на предупреждение коррупции (семинары, лекции, обучения), </w:t>
      </w:r>
      <w:r>
        <w:rPr>
          <w:color w:val="000000" w:themeColor="text1"/>
          <w:sz w:val="28"/>
          <w:szCs w:val="28"/>
          <w:shd w:fill="FFFFFF" w:val="clear"/>
          <w:lang w:val="tt-RU"/>
        </w:rPr>
        <w:t>разработаны и доведены до сотрудников 46 методических информационных материалов по противодействию корруп</w:t>
      </w:r>
      <w:r>
        <w:rPr>
          <w:color w:val="000000" w:themeColor="text1"/>
          <w:sz w:val="28"/>
          <w:szCs w:val="28"/>
          <w:shd w:fill="FFFFFF" w:val="clear"/>
        </w:rPr>
        <w:t xml:space="preserve">ции, в средствах массовой информации опубликовано около 540 </w:t>
      </w:r>
      <w:r>
        <w:rPr>
          <w:color w:val="000000" w:themeColor="text1"/>
          <w:sz w:val="28"/>
          <w:szCs w:val="28"/>
          <w:shd w:fill="FFFFFF" w:val="clear"/>
          <w:lang w:val="tt-RU"/>
        </w:rPr>
        <w:t>материалов антикоррупционной направленности.</w:t>
      </w:r>
    </w:p>
    <w:p>
      <w:pPr>
        <w:pStyle w:val="Normal"/>
        <w:widowControl w:val="false"/>
        <w:ind w:firstLine="709"/>
        <w:jc w:val="both"/>
        <w:rPr>
          <w:color w:val="000000" w:themeColor="text1"/>
          <w:sz w:val="28"/>
          <w:szCs w:val="28"/>
          <w:shd w:fill="FFFFFF" w:val="clear"/>
        </w:rPr>
      </w:pPr>
      <w:r>
        <w:rPr>
          <w:color w:val="000000" w:themeColor="text1"/>
          <w:sz w:val="28"/>
          <w:szCs w:val="28"/>
          <w:shd w:fill="FFFFFF" w:val="clear"/>
        </w:rPr>
        <w:t>Например, в Министерстве цифрового развития государственного управления информационных технологий и связи Республики Татарстан 06.09.2024 проведена открытая лекция-встреча с И.И. Бикеевым, первым проректором, проректором по научной работе частного образовательного учреждения высшего образования «Казанский инновационный университет имени В.Г. Тимирясова», членом Комитета Государственного Совета Республики Татарстан по законности и правопорядку. Тема встречи: «Современные тенденции противодействия коррупции в Российской Федерации» (участие приняли 150 человек).</w:t>
      </w:r>
    </w:p>
    <w:p>
      <w:pPr>
        <w:pStyle w:val="Normal"/>
        <w:widowControl w:val="false"/>
        <w:ind w:firstLine="709"/>
        <w:jc w:val="both"/>
        <w:rPr>
          <w:color w:val="000000" w:themeColor="text1"/>
          <w:sz w:val="28"/>
          <w:szCs w:val="28"/>
          <w:shd w:fill="FFFFFF" w:val="clear"/>
        </w:rPr>
      </w:pPr>
      <w:r>
        <w:rPr>
          <w:color w:val="000000" w:themeColor="text1"/>
          <w:sz w:val="28"/>
          <w:szCs w:val="28"/>
          <w:shd w:fill="FFFFFF" w:val="clear"/>
        </w:rPr>
        <w:t xml:space="preserve">В </w:t>
      </w:r>
      <w:r>
        <w:rPr>
          <w:bCs/>
          <w:color w:val="000000" w:themeColor="text1"/>
          <w:sz w:val="28"/>
          <w:szCs w:val="28"/>
        </w:rPr>
        <w:t>Государственная инспекция Республики Татарстан по обеспечению госу</w:t>
        <w:softHyphen/>
        <w:t>дарственного контроля за производством, оборотом и качеством этилового спирта, алкогольной продукции и защите прав потребителей</w:t>
      </w:r>
      <w:r>
        <w:rPr>
          <w:color w:val="000000" w:themeColor="text1"/>
          <w:sz w:val="28"/>
          <w:szCs w:val="28"/>
          <w:shd w:fill="FFFFFF" w:val="clear"/>
        </w:rPr>
        <w:t xml:space="preserve"> 17.06.2024 и 25.10.2024 проведены лекции «Перечень коррупциогенных ситуаций, которые могут возникнуть в деятельности сотрудников инспекции </w:t>
      </w:r>
      <w:bookmarkStart w:id="0" w:name="_GoBack"/>
      <w:bookmarkEnd w:id="0"/>
      <w:r>
        <w:rPr>
          <w:color w:val="000000" w:themeColor="text1"/>
          <w:sz w:val="28"/>
          <w:szCs w:val="28"/>
          <w:shd w:fill="FFFFFF" w:val="clear"/>
        </w:rPr>
        <w:t>и государственного бюджетного учреждения «Татэкспертцентр» и применяемый механизм, обеспечивающий их минимизацию» (участие приняли 25 сотрудников).</w:t>
      </w:r>
    </w:p>
    <w:p>
      <w:pPr>
        <w:pStyle w:val="Alignjustify1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Alignjustify1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целом в 2024 году проведено более 7 100 просветительских мероприятий, направленных на формирование в обществе негативного отношения</w:t>
        <w:br/>
        <w:t>к коррупционным проявлениям.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shd w:fill="FFFFFF" w:val="clear"/>
        </w:rPr>
        <w:t xml:space="preserve">Реализация программных мероприятий также отразилась на статистике выявленных правонарушений. </w:t>
      </w:r>
      <w:r>
        <w:rPr>
          <w:sz w:val="28"/>
          <w:szCs w:val="28"/>
        </w:rPr>
        <w:t>За последние годы количество выявляемых коррупционных правонарушений сократилось.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Органами прокуратуры Республики Татарстан в 2024 году выявлено 611</w:t>
        <w:br/>
      </w:r>
      <w:r>
        <w:rPr>
          <w:i/>
          <w:sz w:val="28"/>
          <w:szCs w:val="28"/>
        </w:rPr>
        <w:t>(в 2023 году – 912, в 2022 году – 1 331)</w:t>
      </w:r>
      <w:r>
        <w:rPr>
          <w:sz w:val="28"/>
          <w:szCs w:val="28"/>
        </w:rPr>
        <w:t xml:space="preserve"> должностных лиц, допустивших нарушения, связанные с несоблюдением ограничений и запретов, требований о предотвращении или урегулировании конфликта интересов либо неисполнение обязанностей, установленных в целях противодействия коррупции. По результатам рассмотрения актов прокурорского реагирования к дисциплинарной ответственности привлечено 453 должностных лица </w:t>
      </w:r>
      <w:r>
        <w:rPr>
          <w:i/>
          <w:sz w:val="28"/>
          <w:szCs w:val="28"/>
        </w:rPr>
        <w:t>(в 2023 году – 683, в 2022 году – 883).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 факты увольнения должностных лиц в связи с утратой доверия, получения взяток должностными лицами органов публичной власти, иные инциденты, выявляемые правоохранительными органами, говорят об актуальности профилактической работы. </w:t>
      </w:r>
    </w:p>
    <w:p>
      <w:pPr>
        <w:pStyle w:val="Alignjustify1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792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sectPr>
      <w:headerReference w:type="default" r:id="rId2"/>
      <w:type w:val="nextPage"/>
      <w:pgSz w:w="11906" w:h="16838"/>
      <w:pgMar w:left="1134" w:right="567" w:gutter="0" w:header="708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Tahoma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66596742"/>
    </w:sdtPr>
    <w:sdtContent>
      <w:p>
        <w:pPr>
          <w:pStyle w:val="Style23"/>
          <w:jc w:val="center"/>
          <w:rPr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11</w:t>
        </w:r>
        <w:r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Inden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e2e5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1">
    <w:name w:val="Heading 1"/>
    <w:basedOn w:val="Normal"/>
    <w:next w:val="Normal"/>
    <w:link w:val="11"/>
    <w:uiPriority w:val="9"/>
    <w:qFormat/>
    <w:rsid w:val="007c11dd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ce2e58"/>
    <w:rPr>
      <w:rFonts w:ascii="Tahoma" w:hAnsi="Tahoma" w:eastAsia="Times New Roman" w:cs="Tahoma"/>
      <w:sz w:val="16"/>
      <w:szCs w:val="16"/>
      <w:lang w:eastAsia="ru-RU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8531d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Нижний колонтитул Знак"/>
    <w:basedOn w:val="DefaultParagraphFont"/>
    <w:uiPriority w:val="99"/>
    <w:semiHidden/>
    <w:qFormat/>
    <w:rsid w:val="008531d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3" w:customStyle="1">
    <w:name w:val="Основной текст с отступом 3 Знак"/>
    <w:basedOn w:val="DefaultParagraphFont"/>
    <w:link w:val="BodyTextIndent3"/>
    <w:qFormat/>
    <w:rsid w:val="00526d9c"/>
    <w:rPr>
      <w:rFonts w:ascii="Calibri" w:hAnsi="Calibri" w:eastAsia="Calibri" w:cs="Times New Roman"/>
      <w:sz w:val="16"/>
      <w:szCs w:val="16"/>
      <w:lang w:val="x-none" w:eastAsia="x-none"/>
    </w:rPr>
  </w:style>
  <w:style w:type="character" w:styleId="11" w:customStyle="1">
    <w:name w:val="Заголовок 1 Знак"/>
    <w:basedOn w:val="DefaultParagraphFont"/>
    <w:uiPriority w:val="9"/>
    <w:qFormat/>
    <w:rsid w:val="007c11dd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ru-RU"/>
    </w:rPr>
  </w:style>
  <w:style w:type="character" w:styleId="Style16" w:customStyle="1">
    <w:name w:val="Маркеры"/>
    <w:qFormat/>
    <w:rPr>
      <w:rFonts w:ascii="OpenSymbol" w:hAnsi="OpenSymbol" w:eastAsia="OpenSymbol" w:cs="OpenSymbol"/>
      <w:color w:val="00A933"/>
    </w:rPr>
  </w:style>
  <w:style w:type="character" w:styleId="Strong">
    <w:name w:val="Strong"/>
    <w:basedOn w:val="DefaultParagraphFont"/>
    <w:uiPriority w:val="22"/>
    <w:qFormat/>
    <w:rsid w:val="0009104d"/>
    <w:rPr>
      <w:b/>
      <w:bCs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ce2e58"/>
    <w:pPr/>
    <w:rPr>
      <w:rFonts w:ascii="Tahoma" w:hAnsi="Tahoma" w:cs="Tahoma"/>
      <w:sz w:val="16"/>
      <w:szCs w:val="16"/>
    </w:rPr>
  </w:style>
  <w:style w:type="paragraph" w:styleId="ConsPlusTitle" w:customStyle="1">
    <w:name w:val="ConsPlusTitle"/>
    <w:qFormat/>
    <w:rsid w:val="002b3dd2"/>
    <w:pPr>
      <w:widowControl w:val="false"/>
      <w:suppressAutoHyphens w:val="true"/>
      <w:bidi w:val="0"/>
      <w:spacing w:before="0" w:after="0"/>
      <w:jc w:val="left"/>
    </w:pPr>
    <w:rPr>
      <w:rFonts w:eastAsia="SimSun" w:cs="Calibri" w:ascii="Calibri" w:hAnsi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ConsPlusCell" w:customStyle="1">
    <w:name w:val="ConsPlusCell"/>
    <w:qFormat/>
    <w:rsid w:val="00635f4a"/>
    <w:pPr>
      <w:widowControl w:val="false"/>
      <w:suppressAutoHyphens w:val="true"/>
      <w:bidi w:val="0"/>
      <w:spacing w:before="0" w:after="0"/>
      <w:jc w:val="left"/>
    </w:pPr>
    <w:rPr>
      <w:rFonts w:ascii="Arial" w:hAnsi="Arial" w:cs="Arial" w:eastAsia="Calibri" w:eastAsiaTheme="minorHAnsi"/>
      <w:color w:val="auto"/>
      <w:kern w:val="0"/>
      <w:sz w:val="20"/>
      <w:szCs w:val="20"/>
      <w:lang w:eastAsia="ru-RU" w:val="ru-RU" w:bidi="ar-SA"/>
    </w:rPr>
  </w:style>
  <w:style w:type="paragraph" w:styleId="NoSpacing">
    <w:name w:val="No Spacing"/>
    <w:uiPriority w:val="1"/>
    <w:qFormat/>
    <w:rsid w:val="00232f9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b322a2"/>
    <w:pPr>
      <w:spacing w:before="0" w:after="0"/>
      <w:ind w:left="720" w:hanging="0"/>
      <w:contextualSpacing/>
    </w:pPr>
    <w:rPr/>
  </w:style>
  <w:style w:type="paragraph" w:styleId="Style22" w:customStyle="1">
    <w:name w:val="Колонтитул"/>
    <w:basedOn w:val="Normal"/>
    <w:qFormat/>
    <w:pPr/>
    <w:rPr/>
  </w:style>
  <w:style w:type="paragraph" w:styleId="Style23">
    <w:name w:val="Header"/>
    <w:basedOn w:val="Normal"/>
    <w:link w:val="Style14"/>
    <w:uiPriority w:val="99"/>
    <w:unhideWhenUsed/>
    <w:rsid w:val="008531d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Style15"/>
    <w:uiPriority w:val="99"/>
    <w:semiHidden/>
    <w:unhideWhenUsed/>
    <w:rsid w:val="008531d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Indent3">
    <w:name w:val="Body Text Indent 3"/>
    <w:basedOn w:val="Normal"/>
    <w:link w:val="3"/>
    <w:unhideWhenUsed/>
    <w:qFormat/>
    <w:rsid w:val="00526d9c"/>
    <w:pPr>
      <w:spacing w:lineRule="auto" w:line="276" w:before="0" w:after="120"/>
      <w:ind w:left="283" w:hanging="0"/>
    </w:pPr>
    <w:rPr>
      <w:rFonts w:ascii="Calibri" w:hAnsi="Calibri" w:eastAsia="Calibri"/>
      <w:sz w:val="16"/>
      <w:szCs w:val="16"/>
      <w:lang w:val="x-none" w:eastAsia="x-none"/>
    </w:rPr>
  </w:style>
  <w:style w:type="paragraph" w:styleId="Style25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6" w:customStyle="1">
    <w:name w:val="Заголовок таблицы"/>
    <w:basedOn w:val="Style25"/>
    <w:qFormat/>
    <w:pPr>
      <w:jc w:val="center"/>
    </w:pPr>
    <w:rPr>
      <w:b/>
      <w:bCs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eastAsia="Times New Roman" w:cs="Calibri" w:ascii="Calibri" w:hAnsi="Calibri" w:asciiTheme="minorHAnsi" w:hAnsiTheme="minorHAnsi"/>
      <w:color w:val="auto"/>
      <w:kern w:val="0"/>
      <w:sz w:val="22"/>
      <w:szCs w:val="22"/>
      <w:lang w:eastAsia="zh-CN" w:val="ru-RU" w:bidi="ar-SA"/>
    </w:rPr>
  </w:style>
  <w:style w:type="paragraph" w:styleId="Alignjustify1" w:customStyle="1">
    <w:name w:val="alignjustify1"/>
    <w:basedOn w:val="Normal"/>
    <w:qFormat/>
    <w:pPr>
      <w:jc w:val="both"/>
    </w:pPr>
    <w:rPr>
      <w:rFonts w:eastAsia="" w:eastAsiaTheme="minorEastAsia"/>
    </w:rPr>
  </w:style>
  <w:style w:type="paragraph" w:styleId="Style110" w:customStyle="1">
    <w:name w:val="Style1"/>
    <w:basedOn w:val="Normal"/>
    <w:qFormat/>
    <w:pPr>
      <w:widowControl w:val="false"/>
      <w:spacing w:lineRule="exact" w:line="322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59"/>
    <w:rsid w:val="00e62c91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FAD68-DC69-40FD-BA43-7E6000D3E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1967</TotalTime>
  <Application>LibreOffice/7.5.6.2$Linux_X86_64 LibreOffice_project/50$Build-2</Application>
  <AppVersion>15.0000</AppVersion>
  <Pages>11</Pages>
  <Words>3263</Words>
  <Characters>25448</Characters>
  <CharactersWithSpaces>28633</CharactersWithSpaces>
  <Paragraphs>131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2017-01-20T07:32:00Z</dcterms:created>
  <dc:creator>yuliya</dc:creator>
  <dc:description/>
  <dc:language>ru-RU</dc:language>
  <cp:lastModifiedBy/>
  <cp:lastPrinted>2019-07-11T15:19:00Z</cp:lastPrinted>
  <dcterms:modified xsi:type="dcterms:W3CDTF">2025-01-27T10:37:32Z</dcterms:modified>
  <cp:revision>161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