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5CB0">
      <w:pPr>
        <w:spacing w:after="0" w:line="240" w:lineRule="auto"/>
        <w:jc w:val="center"/>
        <w:rPr>
          <w:rFonts w:ascii="Times New Roman" w:hAnsi="Times New Roman" w:eastAsia="Times New Roman"/>
          <w:b/>
          <w:color w:val="auto"/>
          <w:sz w:val="28"/>
          <w:szCs w:val="28"/>
          <w:lang w:eastAsia="ru-RU"/>
        </w:rPr>
      </w:pPr>
    </w:p>
    <w:p w14:paraId="41D588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</w:pPr>
    </w:p>
    <w:p w14:paraId="3077C6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  <w:t>Татарстан Республикасы министрлыклары һәм ведомстволарының 20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  <w:t>2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  <w:t>ел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  <w:t>ның 1 гыйнварыннан 30 июненә кадәрге чорда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  <w:t>гражданнар мөрәҗәгатьләре белән эшләүләре турында</w:t>
      </w:r>
    </w:p>
    <w:p w14:paraId="06E087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tt-RU" w:eastAsia="ru-RU"/>
        </w:rPr>
        <w:t>СТАТИСТИК МӘГЪЛҮМАТЛАР</w:t>
      </w:r>
    </w:p>
    <w:p w14:paraId="26BC0F7E">
      <w:pPr>
        <w:spacing w:after="0" w:line="240" w:lineRule="auto"/>
        <w:jc w:val="center"/>
        <w:rPr>
          <w:rFonts w:ascii="Times New Roman" w:hAnsi="Times New Roman" w:eastAsia="Times New Roman"/>
          <w:b/>
          <w:color w:val="auto"/>
          <w:sz w:val="28"/>
          <w:szCs w:val="28"/>
          <w:lang w:eastAsia="ru-RU"/>
        </w:rPr>
      </w:pPr>
    </w:p>
    <w:p w14:paraId="5DA9FC93">
      <w:pPr>
        <w:spacing w:after="0" w:line="240" w:lineRule="auto"/>
        <w:jc w:val="both"/>
        <w:rPr>
          <w:rFonts w:ascii="Times New Roman" w:hAnsi="Times New Roman" w:eastAsia="Times New Roman"/>
          <w:b/>
          <w:color w:val="auto"/>
          <w:sz w:val="28"/>
          <w:szCs w:val="28"/>
          <w:lang w:eastAsia="ru-RU"/>
        </w:rPr>
      </w:pPr>
    </w:p>
    <w:tbl>
      <w:tblPr>
        <w:tblStyle w:val="3"/>
        <w:tblW w:w="182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417"/>
        <w:gridCol w:w="1559"/>
        <w:gridCol w:w="1059"/>
        <w:gridCol w:w="1068"/>
        <w:gridCol w:w="1257"/>
        <w:gridCol w:w="1152"/>
        <w:gridCol w:w="1084"/>
        <w:gridCol w:w="1326"/>
        <w:gridCol w:w="1134"/>
        <w:gridCol w:w="1418"/>
        <w:gridCol w:w="1418"/>
        <w:gridCol w:w="1418"/>
      </w:tblGrid>
      <w:tr w14:paraId="6D4D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2978" w:type="dxa"/>
            <w:shd w:val="clear" w:color="auto" w:fill="auto"/>
            <w:vAlign w:val="top"/>
          </w:tcPr>
          <w:p w14:paraId="72C0FD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  <w:p w14:paraId="19703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Министрлык/</w:t>
            </w:r>
          </w:p>
          <w:p w14:paraId="30C922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7" w:type="dxa"/>
          </w:tcPr>
          <w:p w14:paraId="284FA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Гражданнардан 20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24 елның 1 яртыеллыгында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кергән барлык мөрәҗәгатьләр </w:t>
            </w:r>
          </w:p>
          <w:p w14:paraId="032F8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  <w:t>*</w:t>
            </w:r>
          </w:p>
          <w:p w14:paraId="72FF48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34BE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Гражданнардан 20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23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елның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1 яртыеллыгында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кергән мөрәҗәгатьләр </w:t>
            </w:r>
          </w:p>
          <w:p w14:paraId="04B784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  <w:p w14:paraId="785004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372CAA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Язма булмаган мөрәҗәгатьләр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шәхси кабул итү барышында  һәм телефон аша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8" w:type="dxa"/>
            <w:shd w:val="clear" w:color="auto" w:fill="auto"/>
          </w:tcPr>
          <w:p w14:paraId="73FD6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Шул исәптән җитәкчеләр тарафыннан шәхсән кабул итү </w:t>
            </w:r>
          </w:p>
          <w:p w14:paraId="5DE4B9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14:paraId="728EF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Шул исәптән видеоконференцияләр системасы буенча кабул итү</w:t>
            </w:r>
          </w:p>
          <w:p w14:paraId="061184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14:paraId="6A33C0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Язма мөрәҗәгатьләр</w:t>
            </w:r>
          </w:p>
        </w:tc>
        <w:tc>
          <w:tcPr>
            <w:tcW w:w="1084" w:type="dxa"/>
          </w:tcPr>
          <w:p w14:paraId="64C12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Шул исәптән Интернет-кабул итү бүлмәсе аша кергән </w:t>
            </w:r>
          </w:p>
          <w:p w14:paraId="530E57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26" w:type="dxa"/>
            <w:shd w:val="clear" w:color="auto" w:fill="auto"/>
          </w:tcPr>
          <w:p w14:paraId="780589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  <w:t>Кире элемтә платформасы аша кергән</w:t>
            </w:r>
          </w:p>
        </w:tc>
        <w:tc>
          <w:tcPr>
            <w:tcW w:w="1134" w:type="dxa"/>
            <w:shd w:val="clear" w:color="auto" w:fill="auto"/>
          </w:tcPr>
          <w:p w14:paraId="1F0DCF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 xml:space="preserve">Контрольгә алынган </w:t>
            </w:r>
          </w:p>
        </w:tc>
        <w:tc>
          <w:tcPr>
            <w:tcW w:w="1418" w:type="dxa"/>
            <w:shd w:val="clear" w:color="auto" w:fill="auto"/>
          </w:tcPr>
          <w:p w14:paraId="4E65ADED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Урынга чыгып тикшерелгән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368B83D">
            <w:pPr>
              <w:spacing w:after="0" w:line="240" w:lineRule="auto"/>
              <w:ind w:right="-108" w:rightChars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Уңай хәл ителгән</w:t>
            </w:r>
          </w:p>
        </w:tc>
        <w:tc>
          <w:tcPr>
            <w:tcW w:w="1418" w:type="dxa"/>
            <w:shd w:val="clear" w:color="auto" w:fill="auto"/>
          </w:tcPr>
          <w:p w14:paraId="379F656A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</w:pPr>
          </w:p>
        </w:tc>
      </w:tr>
      <w:tr w14:paraId="37AD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978" w:type="dxa"/>
            <w:shd w:val="clear" w:color="auto" w:fill="auto"/>
            <w:vAlign w:val="top"/>
          </w:tcPr>
          <w:p w14:paraId="694C3E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Татарстан Республикасы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Ю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ц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ия министр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tt-RU" w:eastAsia="ru-RU"/>
              </w:rPr>
              <w:t>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ыгы </w:t>
            </w:r>
          </w:p>
          <w:p w14:paraId="06DA33AC"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  <w:p w14:paraId="33368A16">
            <w:pPr>
              <w:spacing w:after="0" w:line="240" w:lineRule="auto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44EF8AF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945</w:t>
            </w:r>
          </w:p>
          <w:p w14:paraId="7689CD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F8A697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1061</w:t>
            </w:r>
          </w:p>
          <w:p w14:paraId="76CA08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14:paraId="7D2C15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1068" w:type="dxa"/>
            <w:shd w:val="clear" w:color="auto" w:fill="auto"/>
          </w:tcPr>
          <w:p w14:paraId="2B4C50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tt-RU" w:eastAsia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1257" w:type="dxa"/>
          </w:tcPr>
          <w:p w14:paraId="1F38EF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14:paraId="623181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tt-RU"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  <w:t>933</w:t>
            </w:r>
          </w:p>
        </w:tc>
        <w:tc>
          <w:tcPr>
            <w:tcW w:w="1084" w:type="dxa"/>
          </w:tcPr>
          <w:p w14:paraId="28AD81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  <w:t>171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</w:tcPr>
          <w:p w14:paraId="126D1C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tt-RU" w:eastAsia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F8E7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tt-RU"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  <w:t>945</w:t>
            </w:r>
          </w:p>
        </w:tc>
        <w:tc>
          <w:tcPr>
            <w:tcW w:w="1418" w:type="dxa"/>
            <w:shd w:val="clear" w:color="auto" w:fill="auto"/>
          </w:tcPr>
          <w:p w14:paraId="1603C9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  <w:t>-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C55E4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14:paraId="6AC310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tt-RU" w:eastAsia="zh-CN" w:bidi="ar"/>
              </w:rPr>
            </w:pPr>
          </w:p>
        </w:tc>
      </w:tr>
    </w:tbl>
    <w:p w14:paraId="1CC6A6E6">
      <w:pPr>
        <w:spacing w:after="0" w:line="240" w:lineRule="auto"/>
        <w:rPr>
          <w:rFonts w:ascii="Times New Roman" w:hAnsi="Times New Roman" w:eastAsia="Times New Roman"/>
          <w:color w:val="auto"/>
          <w:sz w:val="24"/>
          <w:szCs w:val="24"/>
          <w:lang w:eastAsia="ru-RU"/>
        </w:rPr>
      </w:pPr>
    </w:p>
    <w:p w14:paraId="58343C32">
      <w:pPr>
        <w:pStyle w:val="10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*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tt-RU" w:eastAsia="ru-RU"/>
        </w:rPr>
        <w:t>Барлык мөрәҗәгатьләр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tt-RU" w:eastAsia="ru-RU"/>
        </w:rPr>
        <w:t>язма һәм язма булмаган мөрәҗәгатьләр бүлемнәренең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tt-RU" w:eastAsia="ru-RU"/>
        </w:rPr>
        <w:t xml:space="preserve"> уртак суммасы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 w14:paraId="06208AE7">
      <w:pPr>
        <w:pStyle w:val="10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tt-RU"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**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val="tt-RU" w:eastAsia="ru-RU"/>
        </w:rPr>
        <w:t>кабул итү бүлмәсе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tt-RU" w:eastAsia="ru-RU"/>
        </w:rPr>
        <w:t xml:space="preserve">язма мөрәҗәгатьләр санына керә. </w:t>
      </w:r>
    </w:p>
    <w:p w14:paraId="0141CFF9">
      <w:pPr>
        <w:pStyle w:val="10"/>
        <w:spacing w:after="0" w:line="240" w:lineRule="auto"/>
        <w:rPr>
          <w:color w:val="auto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***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tt-RU" w:eastAsia="zh-CN" w:bidi="ar"/>
        </w:rPr>
        <w:t xml:space="preserve">Кире элемтә платформасы аша кергән мөрәҗәгатьләр язма мөрәҗәгатьләргә керми. </w:t>
      </w:r>
    </w:p>
    <w:p w14:paraId="069387F7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5F4F3C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5FC093D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547F095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42F7B9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16C4011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279BD1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09D43B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E450D97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68BD09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  <w:sectPr>
          <w:pgSz w:w="16838" w:h="11906" w:orient="landscape"/>
          <w:pgMar w:top="567" w:right="1134" w:bottom="1134" w:left="1134" w:header="709" w:footer="709" w:gutter="0"/>
          <w:cols w:space="708" w:num="1"/>
          <w:docGrid w:linePitch="360" w:charSpace="0"/>
        </w:sectPr>
      </w:pPr>
    </w:p>
    <w:p w14:paraId="75F8FE8E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tt-RU"/>
        </w:rPr>
        <w:t>Татарстан Республикасы Юстиция министрлыгына 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tt-RU"/>
        </w:rPr>
        <w:t xml:space="preserve">4 елның 1 яртыеллыгында гражданнардан кергән мөрәҗәгатьләргә </w:t>
      </w:r>
    </w:p>
    <w:p w14:paraId="4C92CCB2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tt-RU"/>
        </w:rPr>
        <w:t>АНАЛИЗ</w:t>
      </w:r>
    </w:p>
    <w:p w14:paraId="20B00005">
      <w:pPr>
        <w:spacing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</w:p>
    <w:p w14:paraId="5A7FE29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  <w:t>Татарстан Республикасы Юстиция министрлыгына (алга таба – Министрлык) 2024 елның 1 яртыеллыгында гражданнардан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tt-RU"/>
        </w:rPr>
        <w:t>945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  <w:t xml:space="preserve">мөрәҗәгать кергән,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 xml:space="preserve">бу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2023 елның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ел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ның шушы чоры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белән чагыштырганда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2,5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tt-RU"/>
        </w:rPr>
        <w:t>% ка азрак (1061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tt-RU"/>
        </w:rPr>
        <w:t>берәмлек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).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  <w:t xml:space="preserve"> Шулардан 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tt-RU"/>
        </w:rPr>
        <w:t xml:space="preserve">933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  <w:t xml:space="preserve">мөрәҗәгать язма рәвештә, Интернет кабул итү бүлмәсе аша - 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tt-RU"/>
        </w:rPr>
        <w:t>171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  <w:t>мөрәҗәгать, кире элемтә платформасы аша 1 мөрәҗәгать кергән.</w:t>
      </w:r>
      <w:r>
        <w:rPr>
          <w:rFonts w:hint="default" w:ascii="Times New Roman" w:hAnsi="Times New Roman" w:eastAsia="Times New Roman"/>
          <w:b w:val="0"/>
          <w:bCs w:val="0"/>
          <w:color w:val="auto"/>
          <w:sz w:val="28"/>
          <w:szCs w:val="28"/>
          <w:lang w:val="tt-RU" w:eastAsia="ru-RU"/>
        </w:rPr>
        <w:t xml:space="preserve"> </w:t>
      </w:r>
    </w:p>
    <w:p w14:paraId="53DA2EF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</w:pPr>
    </w:p>
    <w:p w14:paraId="751324A6"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 w14:paraId="42426BA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  <w:t xml:space="preserve">Татар телендә –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tt-RU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  <w:t xml:space="preserve"> мөрәҗәгать.</w:t>
      </w:r>
    </w:p>
    <w:p w14:paraId="2A2628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</w:p>
    <w:p w14:paraId="2484CC61">
      <w:pPr>
        <w:spacing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tt-RU"/>
        </w:rPr>
        <w:t xml:space="preserve">Гражданнардан Министрлыкка кергән барлык мөрәҗәгатьләр дә “Россия Федерациясендә гражданнар мөрәҗәгатьләрен карау тәртибе турында” 2006 елның 2 маендагы 59-ФЗ номерлы Федераль закон һәм </w:t>
      </w:r>
      <w:r>
        <w:rPr>
          <w:rStyle w:val="4"/>
          <w:rFonts w:hint="default" w:ascii="Times New Roman" w:hAnsi="Times New Roman" w:cs="Times New Roman"/>
          <w:i w:val="0"/>
          <w:color w:val="auto"/>
          <w:sz w:val="28"/>
          <w:szCs w:val="28"/>
          <w:lang w:val="tt-RU"/>
        </w:rPr>
        <w:t>“Татарстан Республикасында гражданнар мөрәҗәгатьләре турында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tt-RU"/>
        </w:rPr>
        <w:t xml:space="preserve">” 2003 елның 12 маендагы 16-ТРЗ номерлы Татарстан Республикасы законы нигезендә каралалар. </w:t>
      </w:r>
    </w:p>
    <w:p w14:paraId="5C8BD12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tt-RU"/>
        </w:rPr>
      </w:pPr>
    </w:p>
    <w:p w14:paraId="0A73DF01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2024 ел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ның 1 яртыеллыгында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җитәкчелек тарафыннан шәхси кабул итүдә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12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кеше кабул ителгән.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</w:t>
      </w:r>
    </w:p>
    <w:p w14:paraId="1C3B0EEC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26972C21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Гражданнар түбәндәге адрес буенча кабул ителә: Казан шәһәре, Кремль урамы, 16 йорт. </w:t>
      </w:r>
    </w:p>
    <w:p w14:paraId="73DE38FE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Юстиция министры Заһидуллин Рөстәм Илдус улы тарафыннан шәхси кабул итү сишәмбе көннәрендә 14:00 сәгатьтән алдан язылу буенча башкарыла. </w:t>
      </w:r>
    </w:p>
    <w:p w14:paraId="4842B5DC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Министр урынбасарлары һәм эшләр белән идарә итүче шулай ук гражданнарны расланган график нигезендә кабул итәләр:</w:t>
      </w:r>
    </w:p>
    <w:p w14:paraId="3012AC25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51604B7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8F2362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CDAAB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EF722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7"/>
        <w:tblW w:w="0" w:type="auto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360"/>
      </w:tblGrid>
      <w:tr w14:paraId="7DA0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245" w:type="dxa"/>
          </w:tcPr>
          <w:p w14:paraId="48F957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32877E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министрның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беренче урынбасары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vAlign w:val="top"/>
          </w:tcPr>
          <w:p w14:paraId="394986B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1A2B59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пәнҗешәмбе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14:00 д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ән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 18:00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гә кадәр</w:t>
            </w:r>
          </w:p>
        </w:tc>
      </w:tr>
      <w:tr w14:paraId="2E6A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245" w:type="dxa"/>
          </w:tcPr>
          <w:p w14:paraId="2CA67F3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Иб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тов М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ө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рр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 Мансур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улы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386641B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инистр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урынбасары</w:t>
            </w:r>
          </w:p>
        </w:tc>
        <w:tc>
          <w:tcPr>
            <w:tcW w:w="4360" w:type="dxa"/>
            <w:vAlign w:val="top"/>
          </w:tcPr>
          <w:p w14:paraId="32E1569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69AF2A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җомга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14:00 д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ән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18:00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гә кадәр</w:t>
            </w:r>
          </w:p>
        </w:tc>
      </w:tr>
      <w:tr w14:paraId="3973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45" w:type="dxa"/>
          </w:tcPr>
          <w:p w14:paraId="0466E9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Рагозина Надежда Владимировна, </w:t>
            </w:r>
          </w:p>
          <w:p w14:paraId="2CFBF23D">
            <w:pPr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инистр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урынбасары</w:t>
            </w:r>
          </w:p>
        </w:tc>
        <w:tc>
          <w:tcPr>
            <w:tcW w:w="4360" w:type="dxa"/>
            <w:vAlign w:val="top"/>
          </w:tcPr>
          <w:p w14:paraId="1256EA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42CD0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чәршәмбе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14:00 д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ән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18:00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гә кадәр</w:t>
            </w:r>
          </w:p>
        </w:tc>
      </w:tr>
      <w:tr w14:paraId="1692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245" w:type="dxa"/>
          </w:tcPr>
          <w:p w14:paraId="2FA7501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эшләр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белән идарә итүче</w:t>
            </w:r>
          </w:p>
        </w:tc>
        <w:tc>
          <w:tcPr>
            <w:tcW w:w="4360" w:type="dxa"/>
            <w:vAlign w:val="top"/>
          </w:tcPr>
          <w:p w14:paraId="616491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90CCC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дүшәмбе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14:00 д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tt-RU"/>
              </w:rPr>
              <w:t>ән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18:00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tt-RU"/>
              </w:rPr>
              <w:t xml:space="preserve"> гә кадәр</w:t>
            </w:r>
          </w:p>
        </w:tc>
      </w:tr>
    </w:tbl>
    <w:p w14:paraId="64985944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40C786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CEF7F9D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360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мөрәҗәгатькә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җаваплар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җибәрелгән, шул исәптән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26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мөрәҗәгать буенча уңай карар кабул ителгән,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334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мөрәҗәгатькә аңлатма бирелгән.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464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мөрәҗәгать профильле оешмаларга җибәрелгән. Балигъ булмаганнар эшләре һәм аларның хокукларын яклау буенча республика комиссиясе эшчәнлегенә бәйле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68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мөрәҗәгать буенча тиешле чаралар күрел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гән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. Җәмәгать судьялары аппаратлары эшенә кара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ган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15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шикаять мөрәҗәгать итүчеләр тарафыннан кире алынган. Мәгълүмати характердагы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11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документ игътибарга алынды. Бүгенге көндә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27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мөрәҗәгать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буенча эш алып барыла. </w:t>
      </w:r>
    </w:p>
    <w:p w14:paraId="11F4D054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Килгән корреспонденция мөрәҗәгатьләрдә куелган мәсьәләләр тематикасын һәм Министрлык компетенциясен исәпкә алып карала.</w:t>
      </w:r>
    </w:p>
    <w:p w14:paraId="2CB2BCCF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6A96F59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Шикаятьләр, гаризалар һәм тәкъдимнәр түбәндәге темалар буенча 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ер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де.</w:t>
      </w:r>
    </w:p>
    <w:p w14:paraId="23D5A717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212C724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24EC619F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Оборона, куркынычсызлык,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з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аконлылык - 60,33% (2023 – 406, 2024 -587).</w:t>
      </w:r>
    </w:p>
    <w:p w14:paraId="69570A0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 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Суд системасына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караган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525 сорау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алынды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алар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федераль һәм җәмәгать судьялары һәм аларның аппаратлары эшчәнлегенә кагылышлы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шикаятьләр һәм гаризалар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. 31 мәсьәлә прокуратура, юстиция органнары,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отариат һәм адвокатура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га карый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. </w:t>
      </w:r>
    </w:p>
    <w:p w14:paraId="2C69593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Куркынычсызлык һәм хокук тәртибен саклау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”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тематикасы буенча 20 сорау 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ерде. Нигездә аларда 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арковка кагыйдәләрен бозу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э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чке эшләр органнары хезмәткәрләренең эше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нә карата сораулар бар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Махсус хәрби операциядә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катнашучыларга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һәм аларның гаиләләренә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кагылышлы сорауларны үз эченә алган 10 мөрәҗәгать керде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Җәзаларны үтәү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гә караган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1 мөрәҗәгать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алынды.</w:t>
      </w:r>
    </w:p>
    <w:p w14:paraId="0E141E93">
      <w:pPr>
        <w:spacing w:after="0" w:line="240" w:lineRule="auto"/>
        <w:ind w:firstLine="709"/>
        <w:jc w:val="both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5C80171A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Социаль өлкә - 14,18% (2023-137, 2024 -138).</w:t>
      </w:r>
    </w:p>
    <w:p w14:paraId="4F3FFCF8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Сәламәтлек саклау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”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тематикасы буенча 3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мөрәҗәгать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ер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де, алар дәвалау һәм медицина ярдәме күрсәтү сыйфаты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на кагылышлы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. </w:t>
      </w:r>
    </w:p>
    <w:p w14:paraId="6ECF3A4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Мәгариф. Фән. Мәдәният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” темасына караган57 мөрәҗәгатьтә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мәгариф өлкәсендәге конфликтлы хәлләр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балигъ булмаган гражданнар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катнашында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хезмәт эшчәнлеген гамәлгә ашыруга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рөхсәт мәсьәләләре күтәрелә. </w:t>
      </w:r>
    </w:p>
    <w:p w14:paraId="72FF53C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21 мөрәҗәгатьтә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32"/>
          <w:szCs w:val="32"/>
        </w:rPr>
        <w:t>авыр тормыш хәлендә калган балалар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32"/>
          <w:szCs w:val="32"/>
          <w:lang w:val="tt-RU"/>
        </w:rPr>
        <w:t>га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мөнәсәбәт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тә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опека һәм попечительлек буенча, шулай ук ата-аналарның һәм балаларның хокуклары һәм бурычлары, никахлашу һәм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аны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өзү турында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сораулар бар иде.</w:t>
      </w:r>
    </w:p>
    <w:p w14:paraId="6F27BD8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49 мөрәҗәгатьтә социаль тәэмин итү мәсьәләләре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нә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һәм социаль иминиятләштерүгә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кагылышлы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: күпбалалы гаиләләргә, авыр тормыш хәлендә булганнарга, эшсезләргә, аз керемле гражданнарга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ярдәм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, пенсияләр билгеләү һәм яңадан исәпләү, түләүсез юридик ярдәм. </w:t>
      </w:r>
    </w:p>
    <w:p w14:paraId="7E5BF87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8 мәсьәлә халыкның хезмәте һәм мәшгульлеге белән бәйле.</w:t>
      </w:r>
    </w:p>
    <w:p w14:paraId="03D7BFB7"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1201A41A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Дәүләт,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җ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әмгыять, сәясәт– 12,44% (2023 – 209, 2024 – 121). </w:t>
      </w:r>
    </w:p>
    <w:p w14:paraId="707757D3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Әлеге тематик блок буенча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элек җибәрелгән шикаятьләрне карауны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туктату турында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(15)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гаризалар килде, нәтиҗәләр белән килешмәү турында мөрәҗәгатьләр (20), шулай ук  иҗтимагый һәм дини берләшмәләр, гавами хакимият һәм вазыйфаи затлар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эшчәнлекләренә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, конституцион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төзелешкә кагылышлы 86 мөрәҗәгать керде.</w:t>
      </w:r>
    </w:p>
    <w:p w14:paraId="6299442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50E673F8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 xml:space="preserve">Икътисад– 9,56% (2023 – 408, 2024 – 93). </w:t>
      </w:r>
    </w:p>
    <w:p w14:paraId="27F0BC36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tt-RU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Артык тотылган яисә түләнгән акчаларны кире кайтару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га мөнәсәбәттә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31 тапкыр мөрәҗәгать иткәннәр.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Татарстан Республикасы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әүләт һәм муниципаль хезмәтләр порталы эше турында 15 мөрәҗәгать килгән. 9 мөрәҗәгать банклар һәм башка кредит оешмалары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эшчәнлегенә карый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Авыл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оветы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”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темасына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караган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4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мөрәҗәгать, 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Хуҗалык эшчәнлеге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”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тематикасы буенча 34 мөрәҗәгать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алынган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, алар сәүдә нокталары эшчәнлеге, юлларны ремонтлау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, кар чыгару һәм бозлавык юллар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мәсьәләләренә кагыл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а.</w:t>
      </w:r>
    </w:p>
    <w:p w14:paraId="2FC1C6B7">
      <w:pPr>
        <w:spacing w:after="0" w:line="240" w:lineRule="auto"/>
        <w:ind w:firstLine="709"/>
        <w:jc w:val="both"/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3EC37FA6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Торак-коммуналь өлкә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– 3,49% (2023 – 103, 2024 – 34).</w:t>
      </w:r>
    </w:p>
    <w:p w14:paraId="0ADA5CCB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Коммуналь хуҗалыкка бәйле мәсьәләләр буенча гражданнар 19 тапкыр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мөрәҗәгать иттеләр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. Бу коммуналь хезмәтләр күрсәтүнең сыйфаты, коммуналь хезмәт күрсәтү объектлары эшенә бәйле рәвештә яшәү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шартлары турындагы мөрәҗәгатьләр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ражданнарны торак белән тәэмин итү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турында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14 мөрәҗәгать кергән. Торак бәхәсләр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е буенча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1 тапкыр мөрәҗәгать иттеләр. </w:t>
      </w:r>
    </w:p>
    <w:p w14:paraId="5DD83D6F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2023 елның 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еренче яртыеллы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гында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кергән мөрәҗәгатьләрнең гомуми саны арт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, беренче чиратта,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М.К. Мироновский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мөрәҗәгатьләре исәбенә булды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2023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елның 1 гыйнварыннан алывп 2023 елның 30 июненә кадәрге чорда аннан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329 шикаять кергән, бу гомуми санның 31% состав тәшкил итә. 2024 елда шул ук чорда гражданин М.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. Мироновскийдан 30 шикаять кергән. </w:t>
      </w:r>
    </w:p>
    <w:p w14:paraId="16AA8F8A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Шуның белән бергә Министрлык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а 2024 ел башыннан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җәмәгать судьялары суд участоклары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эшенә шикаятьләр белән коллектор оешмалары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күп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мөрәҗәгать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итә башладылар.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Хисап чорында мондый мөрәҗәгатьләрнең саны 396 булган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, бу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гомуми санның 41,9% состав тәшкил ит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ә. </w:t>
      </w:r>
    </w:p>
    <w:p w14:paraId="174AF89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әсьәләне вакытында хәл итү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сәбәпле,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>7 шикаять кире алынды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119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мөрәҗәгать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буенча тиешле аңлатмалар бирелгән. 266 шикаять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җәмәгать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судьялар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>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каравына күчерелде. 4 шикаять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tt-RU"/>
        </w:rPr>
        <w:t xml:space="preserve"> әлеге вакытта каралу стадиясендә.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</w:p>
    <w:bookmarkEnd w:id="0"/>
    <w:sectPr>
      <w:pgSz w:w="11906" w:h="16838"/>
      <w:pgMar w:top="1134" w:right="566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ar(--depot-font-size-text-s) v">
    <w:altName w:val="mr_Fonti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text)">
    <w:altName w:val="mr_Fonti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r_Fontick">
    <w:panose1 w:val="02000500000000000000"/>
    <w:charset w:val="00"/>
    <w:family w:val="auto"/>
    <w:pitch w:val="default"/>
    <w:sig w:usb0="800002A7" w:usb1="5000004A" w:usb2="00000000" w:usb3="00000000" w:csb0="20000001" w:csb1="00000000"/>
  </w:font>
  <w:font w:name="TimesNewRomanPS-BoldMT">
    <w:altName w:val="mr_Fonti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mr_Fontic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A5"/>
    <w:rsid w:val="00063888"/>
    <w:rsid w:val="00076901"/>
    <w:rsid w:val="00096362"/>
    <w:rsid w:val="000E64CD"/>
    <w:rsid w:val="0010321E"/>
    <w:rsid w:val="0010635B"/>
    <w:rsid w:val="0012542F"/>
    <w:rsid w:val="00132A22"/>
    <w:rsid w:val="0018106C"/>
    <w:rsid w:val="00185283"/>
    <w:rsid w:val="001A4DDB"/>
    <w:rsid w:val="001C11EA"/>
    <w:rsid w:val="001D759D"/>
    <w:rsid w:val="002041C6"/>
    <w:rsid w:val="002101F1"/>
    <w:rsid w:val="00232D02"/>
    <w:rsid w:val="00233525"/>
    <w:rsid w:val="00234385"/>
    <w:rsid w:val="002574F1"/>
    <w:rsid w:val="002778EE"/>
    <w:rsid w:val="002A5D5F"/>
    <w:rsid w:val="003036C2"/>
    <w:rsid w:val="00341AB0"/>
    <w:rsid w:val="0036182E"/>
    <w:rsid w:val="00362D78"/>
    <w:rsid w:val="003A006C"/>
    <w:rsid w:val="0040604A"/>
    <w:rsid w:val="004228C0"/>
    <w:rsid w:val="00454629"/>
    <w:rsid w:val="00457C97"/>
    <w:rsid w:val="004719EC"/>
    <w:rsid w:val="004B1B4E"/>
    <w:rsid w:val="004D40C3"/>
    <w:rsid w:val="004F23C1"/>
    <w:rsid w:val="00502474"/>
    <w:rsid w:val="00521D42"/>
    <w:rsid w:val="00526A6B"/>
    <w:rsid w:val="005551D9"/>
    <w:rsid w:val="00572DAC"/>
    <w:rsid w:val="00595645"/>
    <w:rsid w:val="005960A7"/>
    <w:rsid w:val="005B7EF0"/>
    <w:rsid w:val="005D07F9"/>
    <w:rsid w:val="005D191F"/>
    <w:rsid w:val="006219B8"/>
    <w:rsid w:val="00633541"/>
    <w:rsid w:val="00637DA9"/>
    <w:rsid w:val="00662D98"/>
    <w:rsid w:val="00695C34"/>
    <w:rsid w:val="00696DF8"/>
    <w:rsid w:val="006A2ADC"/>
    <w:rsid w:val="006B4ECC"/>
    <w:rsid w:val="00712A27"/>
    <w:rsid w:val="00712CEE"/>
    <w:rsid w:val="00740CA5"/>
    <w:rsid w:val="0074325B"/>
    <w:rsid w:val="00745EB2"/>
    <w:rsid w:val="007467A1"/>
    <w:rsid w:val="00781C2B"/>
    <w:rsid w:val="007C75DC"/>
    <w:rsid w:val="007F194C"/>
    <w:rsid w:val="007F3AB4"/>
    <w:rsid w:val="008311F6"/>
    <w:rsid w:val="00852B62"/>
    <w:rsid w:val="0087461C"/>
    <w:rsid w:val="00877717"/>
    <w:rsid w:val="008B05E6"/>
    <w:rsid w:val="009113BD"/>
    <w:rsid w:val="009235E7"/>
    <w:rsid w:val="00932FEC"/>
    <w:rsid w:val="00941CB5"/>
    <w:rsid w:val="009505F0"/>
    <w:rsid w:val="0097406F"/>
    <w:rsid w:val="00974B4C"/>
    <w:rsid w:val="00984E55"/>
    <w:rsid w:val="0099441D"/>
    <w:rsid w:val="009D5376"/>
    <w:rsid w:val="009E0536"/>
    <w:rsid w:val="009F1B78"/>
    <w:rsid w:val="009F4570"/>
    <w:rsid w:val="00A34BB1"/>
    <w:rsid w:val="00A469D3"/>
    <w:rsid w:val="00A65213"/>
    <w:rsid w:val="00A750BE"/>
    <w:rsid w:val="00A82B23"/>
    <w:rsid w:val="00A9219A"/>
    <w:rsid w:val="00B249FD"/>
    <w:rsid w:val="00B25208"/>
    <w:rsid w:val="00B76FA5"/>
    <w:rsid w:val="00BA68E2"/>
    <w:rsid w:val="00BD24BD"/>
    <w:rsid w:val="00C04000"/>
    <w:rsid w:val="00C06EBF"/>
    <w:rsid w:val="00C320CF"/>
    <w:rsid w:val="00C50881"/>
    <w:rsid w:val="00C50D82"/>
    <w:rsid w:val="00C67A1E"/>
    <w:rsid w:val="00C76CA9"/>
    <w:rsid w:val="00C86E7C"/>
    <w:rsid w:val="00C9373D"/>
    <w:rsid w:val="00C96F6B"/>
    <w:rsid w:val="00CA5A9F"/>
    <w:rsid w:val="00CA6135"/>
    <w:rsid w:val="00CB4C76"/>
    <w:rsid w:val="00CD577B"/>
    <w:rsid w:val="00CD7B3E"/>
    <w:rsid w:val="00D16802"/>
    <w:rsid w:val="00D53CF8"/>
    <w:rsid w:val="00D80554"/>
    <w:rsid w:val="00DB446F"/>
    <w:rsid w:val="00DE2895"/>
    <w:rsid w:val="00DF2AE3"/>
    <w:rsid w:val="00DF5762"/>
    <w:rsid w:val="00E2368A"/>
    <w:rsid w:val="00E32FB4"/>
    <w:rsid w:val="00E77E72"/>
    <w:rsid w:val="00EB55E6"/>
    <w:rsid w:val="00ED589A"/>
    <w:rsid w:val="00EE724C"/>
    <w:rsid w:val="00EF0BA7"/>
    <w:rsid w:val="00F0625B"/>
    <w:rsid w:val="00F620D8"/>
    <w:rsid w:val="00FA0E5A"/>
    <w:rsid w:val="00FB1DB4"/>
    <w:rsid w:val="00FC05A2"/>
    <w:rsid w:val="00FC08E2"/>
    <w:rsid w:val="1F104B2B"/>
    <w:rsid w:val="39C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Subtle Emphasis"/>
    <w:basedOn w:val="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6853-D4F7-4F6E-A0A6-7E24596BDE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1141</Words>
  <Characters>6510</Characters>
  <Lines>54</Lines>
  <Paragraphs>15</Paragraphs>
  <TotalTime>7</TotalTime>
  <ScaleCrop>false</ScaleCrop>
  <LinksUpToDate>false</LinksUpToDate>
  <CharactersWithSpaces>7636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2021-01-11T11:56:00Z</dcterms:created>
  <dc:creator>Сафиуллина Г.Р</dc:creator>
  <cp:lastModifiedBy>Ильсия Зайнулли�</cp:lastModifiedBy>
  <cp:lastPrinted>2021-01-11T13:17:00Z</cp:lastPrinted>
  <dcterms:modified xsi:type="dcterms:W3CDTF">2025-06-19T09:50:15Z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8D5BE44EE6334A35B32B7C0BA15B39DD_13</vt:lpwstr>
  </property>
</Properties>
</file>